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4条断头路建设和新辉路雨水泵站迁建项目</w:t>
      </w:r>
      <w:r>
        <w:rPr>
          <w:rFonts w:hint="eastAsia" w:ascii="宋体" w:hAnsi="宋体" w:eastAsia="宋体" w:cs="宋体"/>
          <w:b/>
          <w:sz w:val="27"/>
          <w:szCs w:val="27"/>
        </w:rPr>
        <w:t>规划和测绘编制单位的通知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4条断头路建设和新辉路雨水泵站迁建项目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147"/>
        <w:gridCol w:w="1200"/>
        <w:gridCol w:w="34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4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  <w:t>4条断头路建设和新辉路雨水泵站迁建项目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  <w:t>规划和测绘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包含：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振中街（向阳路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-金穗大道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2.丰华街（人民路-金穗大道）3.平安路（丰华街-新飞大道）4.柳青路（黄河大道-平原镇政府）5.新辉路雨水泵站迁建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4条断头路建设和新辉路雨水泵站迁建项目</w:t>
      </w:r>
      <w:r>
        <w:rPr>
          <w:rFonts w:hint="eastAsia" w:ascii="宋体" w:hAnsi="宋体" w:eastAsia="宋体" w:cs="宋体"/>
          <w:b/>
          <w:sz w:val="27"/>
          <w:szCs w:val="27"/>
        </w:rPr>
        <w:t>规划和测绘编制单位的通知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4条断头路建设和新辉路雨水泵站迁建项目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①供应商符合《中华人民共和国政府采购法》第二十二条规定；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②具有履行合同所必须的设备和专业技术能力；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③供应商须具备有效期内城乡规划设计乙级以上（包含乙级）；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④供应商须具有有效期内的测绘丙级以上（包含丙级）资质证书。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7．公告时间：自202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日起至202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8．递交投标文件的截止时间及地点：202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10.评标时间：202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11.采购控制价：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4条断头路建设和新辉路雨水泵站迁建项目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和平路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2944"/>
        <w:gridCol w:w="1965"/>
        <w:gridCol w:w="3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  <w:t>4条断头路建设和新辉路雨水泵站迁建项目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  <w:t>规划和测绘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包含：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振中街（向阳路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-金穗大道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2.丰华街（人民路-金穗大道）3.平安路（丰华街-新飞大道）4.柳青路（黄河大道-平原镇政府）5.新辉路雨水泵站迁建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_GB2312" w:cs="仿宋"/>
          <w:sz w:val="24"/>
          <w:szCs w:val="24"/>
          <w:lang w:val="en-US" w:eastAsia="zh-CN"/>
        </w:rPr>
        <w:t>4条断头路建设和新辉路雨水泵站迁建项目</w:t>
      </w:r>
      <w:r>
        <w:rPr>
          <w:rFonts w:hint="eastAsia" w:ascii="仿宋" w:hAnsi="仿宋" w:eastAsia="仿宋_GB2312" w:cs="仿宋"/>
          <w:sz w:val="24"/>
          <w:szCs w:val="24"/>
          <w:lang w:eastAsia="zh-CN"/>
        </w:rPr>
        <w:t>规划和测绘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  <w:t>4条断头路建设和新辉路雨水泵站迁建项目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  <w:t>规划和测绘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eastAsia" w:ascii="宋体" w:hAnsi="宋体" w:cs="宋体" w:eastAsiaTheme="minorEastAsia"/>
          <w:color w:val="0000FF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_GB2312" w:cs="仿宋"/>
          <w:sz w:val="24"/>
          <w:szCs w:val="24"/>
          <w:lang w:val="en-US" w:eastAsia="zh-CN"/>
        </w:rPr>
        <w:t>4条断头路建设和新辉路雨水泵站迁建项目</w:t>
      </w:r>
      <w:r>
        <w:rPr>
          <w:rFonts w:hint="eastAsia" w:ascii="仿宋" w:hAnsi="仿宋" w:eastAsia="仿宋_GB2312" w:cs="仿宋"/>
          <w:sz w:val="24"/>
          <w:szCs w:val="24"/>
          <w:lang w:eastAsia="zh-CN"/>
        </w:rPr>
        <w:t>规划和测绘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" w:hAnsi="仿宋" w:eastAsia="仿宋_GB2312" w:cs="仿宋"/>
                <w:sz w:val="24"/>
                <w:szCs w:val="24"/>
                <w:lang w:val="en-US" w:eastAsia="zh-CN"/>
              </w:rPr>
              <w:t>4条断头路建设和新辉路雨水泵站迁建项目</w:t>
            </w:r>
            <w:r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  <w:t>规划和测绘</w:t>
            </w:r>
            <w:bookmarkStart w:id="0" w:name="_GoBack"/>
            <w:bookmarkEnd w:id="0"/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法人代表或授权代表： 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6B831CD"/>
    <w:rsid w:val="0D996DBF"/>
    <w:rsid w:val="158B6530"/>
    <w:rsid w:val="16B24C81"/>
    <w:rsid w:val="246D7746"/>
    <w:rsid w:val="26F25A91"/>
    <w:rsid w:val="2F670F6C"/>
    <w:rsid w:val="32D2615A"/>
    <w:rsid w:val="342C5800"/>
    <w:rsid w:val="394E1F63"/>
    <w:rsid w:val="432802EF"/>
    <w:rsid w:val="46313086"/>
    <w:rsid w:val="49F969B0"/>
    <w:rsid w:val="4F321F4D"/>
    <w:rsid w:val="4F935E6F"/>
    <w:rsid w:val="50835AF7"/>
    <w:rsid w:val="5DE865E0"/>
    <w:rsid w:val="5F956271"/>
    <w:rsid w:val="62CE2597"/>
    <w:rsid w:val="62F2403C"/>
    <w:rsid w:val="680A66F9"/>
    <w:rsid w:val="6D535020"/>
    <w:rsid w:val="6DF166D9"/>
    <w:rsid w:val="721C5BEB"/>
    <w:rsid w:val="79AA1601"/>
    <w:rsid w:val="7A2B3A1C"/>
    <w:rsid w:val="7B176A9C"/>
    <w:rsid w:val="7C725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106</TotalTime>
  <ScaleCrop>false</ScaleCrop>
  <LinksUpToDate>false</LinksUpToDate>
  <CharactersWithSpaces>5206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2020-01-16T01:30:00Z</cp:lastPrinted>
  <dcterms:modified xsi:type="dcterms:W3CDTF">2021-02-05T07:43:02Z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