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pacing w:before="0" w:beforeLines="0" w:after="0" w:afterLines="0" w:line="560" w:lineRule="exact"/>
        <w:rPr>
          <w:rFonts w:hint="eastAsia" w:ascii="方正小标宋_GBK" w:hAnsi="方正小标宋_GBK" w:eastAsia="方正小标宋_GBK" w:cs="方正小标宋_GBK"/>
          <w:color w:val="404040" w:themeColor="text1" w:themeTint="BF"/>
          <w:sz w:val="44"/>
          <w:szCs w:val="44"/>
          <w14:textFill>
            <w14:solidFill>
              <w14:schemeClr w14:val="tx1">
                <w14:lumMod w14:val="75000"/>
                <w14:lumOff w14:val="25000"/>
              </w14:schemeClr>
            </w14:solidFill>
          </w14:textFill>
        </w:rPr>
      </w:pPr>
      <w:bookmarkStart w:id="1" w:name="_GoBack"/>
      <w:r>
        <w:rPr>
          <w:rFonts w:hint="eastAsia" w:ascii="方正小标宋_GBK" w:hAnsi="方正小标宋_GBK" w:eastAsia="方正小标宋_GBK" w:cs="方正小标宋_GBK"/>
          <w:color w:val="404040" w:themeColor="text1" w:themeTint="BF"/>
          <w:sz w:val="44"/>
          <w:szCs w:val="44"/>
          <w14:textFill>
            <w14:solidFill>
              <w14:schemeClr w14:val="tx1">
                <w14:lumMod w14:val="75000"/>
                <w14:lumOff w14:val="25000"/>
              </w14:schemeClr>
            </w14:solidFill>
          </w14:textFill>
        </w:rPr>
        <w:t>新乡市城镇危旧房自主更新、原拆原建工作</w:t>
      </w:r>
    </w:p>
    <w:p>
      <w:pPr>
        <w:pStyle w:val="6"/>
        <w:spacing w:before="0" w:beforeLines="0" w:after="0" w:afterLines="0" w:line="560" w:lineRule="exact"/>
        <w:rPr>
          <w:rFonts w:hint="eastAsia" w:ascii="方正小标宋_GBK" w:hAnsi="方正小标宋_GBK" w:eastAsia="方正小标宋_GBK" w:cs="方正小标宋_GBK"/>
          <w:color w:val="404040" w:themeColor="text1" w:themeTint="BF"/>
          <w:sz w:val="44"/>
          <w:szCs w:val="44"/>
          <w14:textFill>
            <w14:solidFill>
              <w14:schemeClr w14:val="tx1">
                <w14:lumMod w14:val="75000"/>
                <w14:lumOff w14:val="25000"/>
              </w14:schemeClr>
            </w14:solidFill>
          </w14:textFill>
        </w:rPr>
      </w:pPr>
      <w:r>
        <w:rPr>
          <w:rFonts w:hint="eastAsia" w:ascii="方正小标宋_GBK" w:hAnsi="方正小标宋_GBK" w:eastAsia="方正小标宋_GBK" w:cs="方正小标宋_GBK"/>
          <w:color w:val="404040" w:themeColor="text1" w:themeTint="BF"/>
          <w:sz w:val="44"/>
          <w:szCs w:val="44"/>
          <w14:textFill>
            <w14:solidFill>
              <w14:schemeClr w14:val="tx1">
                <w14:lumMod w14:val="75000"/>
                <w14:lumOff w14:val="25000"/>
              </w14:schemeClr>
            </w14:solidFill>
          </w14:textFill>
        </w:rPr>
        <w:t>指导意见（试行）</w:t>
      </w:r>
      <w:r>
        <w:rPr>
          <w:rFonts w:hint="eastAsia" w:ascii="方正小标宋_GBK" w:hAnsi="方正小标宋_GBK" w:eastAsia="方正小标宋_GBK" w:cs="方正小标宋_GBK"/>
          <w:color w:val="404040" w:themeColor="text1" w:themeTint="BF"/>
          <w:sz w:val="44"/>
          <w:szCs w:val="44"/>
          <w:lang w:eastAsia="zh-CN"/>
          <w14:textFill>
            <w14:solidFill>
              <w14:schemeClr w14:val="tx1">
                <w14:lumMod w14:val="75000"/>
                <w14:lumOff w14:val="25000"/>
              </w14:schemeClr>
            </w14:solidFill>
          </w14:textFill>
        </w:rPr>
        <w:t>（</w:t>
      </w:r>
      <w:r>
        <w:rPr>
          <w:rFonts w:hint="eastAsia" w:ascii="方正小标宋_GBK" w:hAnsi="方正小标宋_GBK" w:eastAsia="方正小标宋_GBK" w:cs="方正小标宋_GBK"/>
          <w:color w:val="404040" w:themeColor="text1" w:themeTint="BF"/>
          <w:sz w:val="44"/>
          <w:szCs w:val="44"/>
          <w:lang w:val="en-US" w:eastAsia="zh-CN"/>
          <w14:textFill>
            <w14:solidFill>
              <w14:schemeClr w14:val="tx1">
                <w14:lumMod w14:val="75000"/>
                <w14:lumOff w14:val="25000"/>
              </w14:schemeClr>
            </w14:solidFill>
          </w14:textFill>
        </w:rPr>
        <w:t>征求意见稿</w:t>
      </w:r>
      <w:r>
        <w:rPr>
          <w:rFonts w:hint="eastAsia" w:ascii="方正小标宋_GBK" w:hAnsi="方正小标宋_GBK" w:eastAsia="方正小标宋_GBK" w:cs="方正小标宋_GBK"/>
          <w:color w:val="404040" w:themeColor="text1" w:themeTint="BF"/>
          <w:sz w:val="44"/>
          <w:szCs w:val="44"/>
          <w:lang w:eastAsia="zh-CN"/>
          <w14:textFill>
            <w14:solidFill>
              <w14:schemeClr w14:val="tx1">
                <w14:lumMod w14:val="75000"/>
                <w14:lumOff w14:val="25000"/>
              </w14:schemeClr>
            </w14:solidFill>
          </w14:textFill>
        </w:rPr>
        <w:t>）</w:t>
      </w:r>
    </w:p>
    <w:bookmarkEnd w:id="1"/>
    <w:p>
      <w:pPr>
        <w:pStyle w:val="3"/>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p>
    <w:p>
      <w:pPr>
        <w:pStyle w:val="4"/>
        <w:spacing w:before="313" w:beforeLines="100" w:after="313" w:afterLines="100" w:line="560" w:lineRule="exact"/>
        <w:ind w:firstLine="186" w:firstLineChars="62"/>
        <w:jc w:val="cente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b/>
          <w:bCs/>
          <w:color w:val="404040" w:themeColor="text1" w:themeTint="BF"/>
          <w:sz w:val="30"/>
          <w:szCs w:val="30"/>
          <w14:textFill>
            <w14:solidFill>
              <w14:schemeClr w14:val="tx1">
                <w14:lumMod w14:val="75000"/>
                <w14:lumOff w14:val="25000"/>
              </w14:schemeClr>
            </w14:solidFill>
          </w14:textFill>
        </w:rPr>
        <w:t>第一章 总则</w:t>
      </w:r>
    </w:p>
    <w:p>
      <w:pPr>
        <w:pStyle w:val="4"/>
        <w:spacing w:before="313" w:beforeLines="100" w:after="313" w:afterLines="100" w:line="560" w:lineRule="exact"/>
        <w:ind w:firstLine="640"/>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Style w:val="21"/>
          <w:rFonts w:hint="eastAsia" w:ascii="CESI黑体-GB2312" w:hAnsi="CESI黑体-GB2312" w:eastAsia="CESI黑体-GB2312" w:cs="CESI黑体-GB2312"/>
          <w:bCs/>
          <w:color w:val="404040" w:themeColor="text1" w:themeTint="BF"/>
          <w:kern w:val="2"/>
          <w:sz w:val="30"/>
          <w:szCs w:val="30"/>
          <w14:textFill>
            <w14:solidFill>
              <w14:schemeClr w14:val="tx1">
                <w14:lumMod w14:val="75000"/>
                <w14:lumOff w14:val="25000"/>
              </w14:schemeClr>
            </w14:solidFill>
          </w14:textFill>
        </w:rPr>
        <w:t>第一条</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 </w:t>
      </w: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为进一步提升居住品质，满足人民群众对美好生活的需要，促进我市危旧房屋更新改造，根据《中共中央办公厅 国务院办公厅关于持续推进城市更新行动的意见》、《河南省人民政府办公厅关于实施城市更新行动的指导意见》（豫政办〔2023〕51号）、《新乡市人民政府关于新乡市城市更新行动的实施意见（试行）》（新政文〔2025〕1号）等文件内容，结合我市实际，提出如下意见。</w:t>
      </w:r>
    </w:p>
    <w:p>
      <w:pPr>
        <w:pStyle w:val="6"/>
        <w:spacing w:before="313" w:beforeLines="100" w:after="313" w:afterLines="100" w:line="560" w:lineRule="exact"/>
        <w:ind w:firstLine="643"/>
        <w:jc w:val="both"/>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第二条 </w:t>
      </w: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坚持“</w:t>
      </w:r>
      <w:r>
        <w:rPr>
          <w:rStyle w:val="24"/>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t>政府引导、政策支持；群众自愿、市场运作；安全优先、因地制宜”的原则</w:t>
      </w: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，量力而行、尽力而为，不搞“面子工程”、“形象工程”，稳妥推进</w:t>
      </w:r>
      <w:r>
        <w:rPr>
          <w:rStyle w:val="24"/>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t>城镇</w:t>
      </w: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国有土地上危旧房自主更新、原拆原建工作。</w:t>
      </w:r>
    </w:p>
    <w:p>
      <w:pPr>
        <w:pStyle w:val="3"/>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第三条</w:t>
      </w:r>
      <w:r>
        <w:rPr>
          <w:rFonts w:hint="eastAsia" w:ascii="CESI黑体-GB2312" w:hAnsi="CESI黑体-GB2312" w:eastAsia="CESI黑体-GB2312" w:cs="CESI黑体-GB2312"/>
          <w:b/>
          <w:color w:val="404040" w:themeColor="text1" w:themeTint="BF"/>
          <w:sz w:val="30"/>
          <w:szCs w:val="30"/>
          <w14:textFill>
            <w14:solidFill>
              <w14:schemeClr w14:val="tx1">
                <w14:lumMod w14:val="75000"/>
                <w14:lumOff w14:val="25000"/>
              </w14:schemeClr>
            </w14:solidFill>
          </w14:textFill>
        </w:rPr>
        <w:t xml:space="preserve"> </w:t>
      </w:r>
      <w:r>
        <w:rPr>
          <w:rStyle w:val="24"/>
          <w:rFonts w:hint="eastAsia" w:ascii="CESI黑体-GB2312" w:hAnsi="CESI黑体-GB2312" w:eastAsia="CESI黑体-GB2312" w:cs="CESI黑体-GB2312"/>
          <w:b w:val="0"/>
          <w:bCs w:val="0"/>
          <w:color w:val="404040" w:themeColor="text1" w:themeTint="BF"/>
          <w:sz w:val="30"/>
          <w:szCs w:val="30"/>
          <w14:textFill>
            <w14:solidFill>
              <w14:schemeClr w14:val="tx1">
                <w14:lumMod w14:val="75000"/>
                <w14:lumOff w14:val="25000"/>
              </w14:schemeClr>
            </w14:solidFill>
          </w14:textFill>
        </w:rPr>
        <w:t>本意见</w:t>
      </w:r>
      <w:r>
        <w:rPr>
          <w:rStyle w:val="24"/>
          <w:rFonts w:hint="eastAsia" w:ascii="CESI黑体-GB2312" w:hAnsi="CESI黑体-GB2312" w:eastAsia="CESI黑体-GB2312" w:cs="CESI黑体-GB2312"/>
          <w:b w:val="0"/>
          <w:bCs w:val="0"/>
          <w:color w:val="404040" w:themeColor="text1" w:themeTint="BF"/>
          <w:sz w:val="30"/>
          <w:szCs w:val="30"/>
          <w:lang w:eastAsia="zh-CN"/>
          <w14:textFill>
            <w14:solidFill>
              <w14:schemeClr w14:val="tx1">
                <w14:lumMod w14:val="75000"/>
                <w14:lumOff w14:val="25000"/>
              </w14:schemeClr>
            </w14:solidFill>
          </w14:textFill>
        </w:rPr>
        <w:t>主要</w:t>
      </w:r>
      <w:r>
        <w:rPr>
          <w:rStyle w:val="24"/>
          <w:rFonts w:hint="eastAsia" w:ascii="CESI黑体-GB2312" w:hAnsi="CESI黑体-GB2312" w:eastAsia="CESI黑体-GB2312" w:cs="CESI黑体-GB2312"/>
          <w:b w:val="0"/>
          <w:bCs w:val="0"/>
          <w:color w:val="404040" w:themeColor="text1" w:themeTint="BF"/>
          <w:sz w:val="30"/>
          <w:szCs w:val="30"/>
          <w14:textFill>
            <w14:solidFill>
              <w14:schemeClr w14:val="tx1">
                <w14:lumMod w14:val="75000"/>
                <w14:lumOff w14:val="25000"/>
              </w14:schemeClr>
            </w14:solidFill>
          </w14:textFill>
        </w:rPr>
        <w:t>适用于</w:t>
      </w: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卫滨区、红旗区、牧野区、凤泉区、高新区、经开区范围内国有土地上的危旧住房改造。主要包含经鉴定为C、D级存在安全隐患的危险住房和国有企事业单位破产改制、“三供一业”分离移交等遗留的非成套住房。</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其他符合条件旧房（2000年以前建成的，配套设施和公共服务设施不完善的住房等），可参照本意见执行。</w:t>
      </w:r>
    </w:p>
    <w:p>
      <w:pPr>
        <w:spacing w:before="313" w:beforeLines="100" w:after="313" w:afterLines="100" w:line="560" w:lineRule="exact"/>
        <w:ind w:firstLine="640" w:firstLineChars="0"/>
        <w:rPr>
          <w:rFonts w:hint="eastAsia" w:ascii="CESI黑体-GB2312" w:hAnsi="CESI黑体-GB2312" w:eastAsia="CESI黑体-GB2312" w:cs="CESI黑体-GB2312"/>
          <w:color w:val="404040" w:themeColor="text1" w:themeTint="BF"/>
          <w:kern w:val="0"/>
          <w:sz w:val="30"/>
          <w:szCs w:val="30"/>
          <w:lang w:bidi="ar"/>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kern w:val="0"/>
          <w:sz w:val="30"/>
          <w:szCs w:val="30"/>
          <w:lang w:bidi="ar"/>
          <w14:textFill>
            <w14:solidFill>
              <w14:schemeClr w14:val="tx1">
                <w14:lumMod w14:val="75000"/>
                <w14:lumOff w14:val="25000"/>
              </w14:schemeClr>
            </w14:solidFill>
          </w14:textFill>
        </w:rPr>
        <w:t>涉及不可移动文物、历史建筑、历史文化名城以及传统风貌建筑等法律、法规规定的保护对象，或者已纳入成片改造范围、土地房屋征收计划、土地储备计划的</w:t>
      </w:r>
      <w:r>
        <w:rPr>
          <w:rFonts w:hint="eastAsia" w:ascii="CESI黑体-GB2312" w:hAnsi="CESI黑体-GB2312" w:eastAsia="CESI黑体-GB2312" w:cs="CESI黑体-GB2312"/>
          <w:color w:val="404040" w:themeColor="text1" w:themeTint="BF"/>
          <w:kern w:val="0"/>
          <w:sz w:val="30"/>
          <w:szCs w:val="30"/>
          <w:lang w:eastAsia="zh-CN" w:bidi="ar"/>
          <w14:textFill>
            <w14:solidFill>
              <w14:schemeClr w14:val="tx1">
                <w14:lumMod w14:val="75000"/>
                <w14:lumOff w14:val="25000"/>
              </w14:schemeClr>
            </w14:solidFill>
          </w14:textFill>
        </w:rPr>
        <w:t>以及独立产权民房</w:t>
      </w:r>
      <w:r>
        <w:rPr>
          <w:rFonts w:hint="eastAsia" w:ascii="CESI黑体-GB2312" w:hAnsi="CESI黑体-GB2312" w:eastAsia="CESI黑体-GB2312" w:cs="CESI黑体-GB2312"/>
          <w:color w:val="404040" w:themeColor="text1" w:themeTint="BF"/>
          <w:kern w:val="0"/>
          <w:sz w:val="30"/>
          <w:szCs w:val="30"/>
          <w:lang w:bidi="ar"/>
          <w14:textFill>
            <w14:solidFill>
              <w14:schemeClr w14:val="tx1">
                <w14:lumMod w14:val="75000"/>
                <w14:lumOff w14:val="25000"/>
              </w14:schemeClr>
            </w14:solidFill>
          </w14:textFill>
        </w:rPr>
        <w:t>等，按照有关规定办理。</w:t>
      </w:r>
    </w:p>
    <w:p>
      <w:pPr>
        <w:pStyle w:val="5"/>
        <w:spacing w:before="313" w:beforeLines="100" w:after="313" w:afterLines="100" w:line="560" w:lineRule="exact"/>
        <w:ind w:firstLine="640"/>
        <w:rPr>
          <w:rStyle w:val="24"/>
          <w:rFonts w:hint="eastAsia" w:ascii="CESI黑体-GB2312" w:hAnsi="CESI黑体-GB2312" w:eastAsia="CESI黑体-GB2312" w:cs="CESI黑体-GB2312"/>
          <w:b w:val="0"/>
          <w:bCs/>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第四条 </w:t>
      </w:r>
      <w:r>
        <w:rPr>
          <w:rStyle w:val="24"/>
          <w:rFonts w:hint="eastAsia" w:ascii="CESI黑体-GB2312" w:hAnsi="CESI黑体-GB2312" w:eastAsia="CESI黑体-GB2312" w:cs="CESI黑体-GB2312"/>
          <w:b w:val="0"/>
          <w:bCs/>
          <w:color w:val="404040" w:themeColor="text1" w:themeTint="BF"/>
          <w:sz w:val="30"/>
          <w:szCs w:val="30"/>
          <w14:textFill>
            <w14:solidFill>
              <w14:schemeClr w14:val="tx1">
                <w14:lumMod w14:val="75000"/>
                <w14:lumOff w14:val="25000"/>
              </w14:schemeClr>
            </w14:solidFill>
          </w14:textFill>
        </w:rPr>
        <w:t>危旧房可采取以下方式实施更新改造：</w:t>
      </w:r>
    </w:p>
    <w:p>
      <w:pPr>
        <w:pStyle w:val="3"/>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（一）维修加固：具备维修加固价值的，可通过局部拆换（或加固）建筑组成部分、完善使用功能和配套设施、强化安全防护措施等方式予以改造。</w:t>
      </w:r>
    </w:p>
    <w:p>
      <w:pPr>
        <w:pStyle w:val="3"/>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（二）原拆原建：具备原拆原建价值的，可通过原址翻建、原址重建两种模式并优化相关使用功能和配套设施方式予以改造。</w:t>
      </w:r>
    </w:p>
    <w:p>
      <w:pPr>
        <w:pStyle w:val="3"/>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（三）异地置换：</w:t>
      </w:r>
      <w:r>
        <w:rPr>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t>确实</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不具备原拆原建条件的，辖区政府可结合实际，统筹房源实行异地置换。</w:t>
      </w:r>
    </w:p>
    <w:p>
      <w:pPr>
        <w:pStyle w:val="3"/>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第五条</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 危旧房更新改造鼓励户型设计和空间布局创新，完善配套设施，优化使用功能，与周边环境相协调，提升人居环境与品质，推广应用新型工业化建造，并按以下标准进行改造提升：</w:t>
      </w:r>
    </w:p>
    <w:p>
      <w:pPr>
        <w:pStyle w:val="3"/>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（一）维修加固：原则上不增加建筑面积、建筑高度、建筑层数和变更规划用途等。</w:t>
      </w:r>
    </w:p>
    <w:p>
      <w:pPr>
        <w:pStyle w:val="3"/>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（二）原址翻建：坚持自有用地、自主改造，不增加户数、不改变原建筑用途，基本不扩大原建筑基底、不改变四至关系等。</w:t>
      </w:r>
    </w:p>
    <w:p>
      <w:pPr>
        <w:pStyle w:val="3"/>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w:t>
      </w:r>
      <w:r>
        <w:rPr>
          <w:rFonts w:hint="eastAsia" w:ascii="CESI黑体-GB2312" w:hAnsi="CESI黑体-GB2312" w:eastAsia="CESI黑体-GB2312" w:cs="CESI黑体-GB2312"/>
          <w:color w:val="404040" w:themeColor="text1" w:themeTint="BF"/>
          <w:sz w:val="30"/>
          <w:szCs w:val="30"/>
          <w:lang w:eastAsia="zh-CN"/>
          <w14:textFill>
            <w14:solidFill>
              <w14:schemeClr w14:val="tx1">
                <w14:lumMod w14:val="75000"/>
                <w14:lumOff w14:val="25000"/>
              </w14:schemeClr>
            </w14:solidFill>
          </w14:textFill>
        </w:rPr>
        <w:t>三</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原址重建：原则上不改变原建筑用途、基本不扩大用地总量、基本不突破用地红线。鼓励采取多、高层建筑方式实施改造，优化空间布局、适当增设公共活动空间和公共服务配套设施，着力建设宜居、绿色、智慧的好小区。</w:t>
      </w:r>
    </w:p>
    <w:p>
      <w:pPr>
        <w:pStyle w:val="5"/>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kern w:val="2"/>
          <w:sz w:val="30"/>
          <w:szCs w:val="30"/>
          <w14:textFill>
            <w14:solidFill>
              <w14:schemeClr w14:val="tx1">
                <w14:lumMod w14:val="75000"/>
                <w14:lumOff w14:val="25000"/>
              </w14:schemeClr>
            </w14:solidFill>
          </w14:textFill>
        </w:rPr>
        <w:t>第</w:t>
      </w: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六条</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 </w:t>
      </w: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住建部门负责危旧房更新改造计划的审核、上报，负责做好相应的消防设计审查、施工许可手续办理、质量安全监督、</w:t>
      </w:r>
      <w:r>
        <w:rPr>
          <w:rStyle w:val="24"/>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t>消防验收、</w:t>
      </w: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竣工验收等工作。</w:t>
      </w:r>
    </w:p>
    <w:p>
      <w:pPr>
        <w:pStyle w:val="3"/>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资源规划部门负责规划条件认定、建设工程规划许可、土地手续办理、不动产登记等工作。</w:t>
      </w:r>
    </w:p>
    <w:p>
      <w:pPr>
        <w:pStyle w:val="3"/>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发改部门负责做好项目审批和上级资金、专项债券申报等工作。</w:t>
      </w:r>
    </w:p>
    <w:p>
      <w:pPr>
        <w:pStyle w:val="3"/>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财政部门负责</w:t>
      </w:r>
      <w:r>
        <w:rPr>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t>统筹好各级财政资金，做好项目资金支持</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等工作。</w:t>
      </w:r>
    </w:p>
    <w:p>
      <w:pPr>
        <w:pStyle w:val="3"/>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辖区政府为推进辖区危旧房更新改造工作的责任主体，负责对本辖区内危旧房开展排查摸底，组织协调有关部门做好辖区范围内的危旧房改造、监督及管理工作。</w:t>
      </w:r>
    </w:p>
    <w:p>
      <w:pPr>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p>
    <w:p>
      <w:pPr>
        <w:pStyle w:val="4"/>
        <w:spacing w:before="313" w:beforeLines="100" w:after="313" w:afterLines="100" w:line="560" w:lineRule="exact"/>
        <w:ind w:firstLine="0" w:firstLineChars="0"/>
        <w:jc w:val="center"/>
        <w:rPr>
          <w:rFonts w:hint="eastAsia" w:ascii="CESI黑体-GB2312" w:hAnsi="CESI黑体-GB2312" w:eastAsia="CESI黑体-GB2312" w:cs="CESI黑体-GB2312"/>
          <w:b/>
          <w:bCs/>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b/>
          <w:bCs/>
          <w:color w:val="404040" w:themeColor="text1" w:themeTint="BF"/>
          <w:sz w:val="30"/>
          <w:szCs w:val="30"/>
          <w14:textFill>
            <w14:solidFill>
              <w14:schemeClr w14:val="tx1">
                <w14:lumMod w14:val="75000"/>
                <w14:lumOff w14:val="25000"/>
              </w14:schemeClr>
            </w14:solidFill>
          </w14:textFill>
        </w:rPr>
        <w:t>第二章 改造程序</w:t>
      </w:r>
    </w:p>
    <w:p>
      <w:pPr>
        <w:pStyle w:val="3"/>
        <w:widowControl w:val="0"/>
        <w:spacing w:before="313" w:beforeLines="100" w:after="313" w:afterLines="100" w:line="560" w:lineRule="exact"/>
        <w:ind w:firstLine="640"/>
        <w:jc w:val="left"/>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第七条</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 危旧房更新改造实施主体可采取以下方式产生：</w:t>
      </w:r>
    </w:p>
    <w:p>
      <w:pPr>
        <w:pStyle w:val="3"/>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（一）自主更新：在符合国土空间规划的前提下，鼓励产权人自主筹资实施；鼓励多产权人成立自主更新委员会等组织作为实施主体，负责内部协商、资金筹集、委托建设等工作</w:t>
      </w:r>
      <w:r>
        <w:rPr>
          <w:rFonts w:hint="eastAsia" w:ascii="CESI黑体-GB2312" w:hAnsi="CESI黑体-GB2312" w:eastAsia="CESI黑体-GB2312" w:cs="CESI黑体-GB2312"/>
          <w:color w:val="404040" w:themeColor="text1" w:themeTint="BF"/>
          <w:sz w:val="30"/>
          <w:szCs w:val="30"/>
          <w:lang w:eastAsia="zh-CN"/>
          <w14:textFill>
            <w14:solidFill>
              <w14:schemeClr w14:val="tx1">
                <w14:lumMod w14:val="75000"/>
                <w14:lumOff w14:val="25000"/>
              </w14:schemeClr>
            </w14:solidFill>
          </w14:textFill>
        </w:rPr>
        <w:t>，</w:t>
      </w:r>
      <w:r>
        <w:rPr>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t>鼓励</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自主委托</w:t>
      </w:r>
      <w:r>
        <w:rPr>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t>政府、</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原房改房单位、国有企业、社会合作企业等或成立项目公司等作为项目建设单位，开展具体工作。</w:t>
      </w:r>
    </w:p>
    <w:p>
      <w:pPr>
        <w:pStyle w:val="3"/>
        <w:widowControl w:val="0"/>
        <w:spacing w:before="313" w:beforeLines="100" w:after="313" w:afterLines="100" w:line="560" w:lineRule="exact"/>
        <w:ind w:firstLine="640"/>
        <w:jc w:val="left"/>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（二）政府</w:t>
      </w:r>
      <w:r>
        <w:rPr>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t>引</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导：对难以由居民自发组织实施的急需改造的，支持各辖区政府发挥</w:t>
      </w:r>
      <w:r>
        <w:rPr>
          <w:rFonts w:hint="eastAsia" w:ascii="CESI黑体-GB2312" w:hAnsi="CESI黑体-GB2312" w:eastAsia="CESI黑体-GB2312" w:cs="CESI黑体-GB2312"/>
          <w:color w:val="404040" w:themeColor="text1" w:themeTint="BF"/>
          <w:sz w:val="30"/>
          <w:szCs w:val="30"/>
          <w:lang w:eastAsia="zh-CN"/>
          <w14:textFill>
            <w14:solidFill>
              <w14:schemeClr w14:val="tx1">
                <w14:lumMod w14:val="75000"/>
                <w14:lumOff w14:val="25000"/>
              </w14:schemeClr>
            </w14:solidFill>
          </w14:textFill>
        </w:rPr>
        <w:t>引</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导作用，</w:t>
      </w:r>
      <w:r>
        <w:rPr>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t>组织群众成立</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自主更新委员会</w:t>
      </w:r>
      <w:r>
        <w:rPr>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t>，</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优先考虑优质国有企业参与合作，进行统筹改造。</w:t>
      </w:r>
    </w:p>
    <w:p>
      <w:pPr>
        <w:pStyle w:val="3"/>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（三）市场合作：鼓励社会力量通过直接投资、间接投资、参股、提供专业化物业服务、车位运营等多种方式参与更新改造。</w:t>
      </w:r>
    </w:p>
    <w:p>
      <w:pPr>
        <w:pStyle w:val="5"/>
        <w:spacing w:before="313" w:beforeLines="100" w:after="313" w:afterLines="100" w:line="560" w:lineRule="exact"/>
        <w:ind w:firstLine="640"/>
        <w:rPr>
          <w:rStyle w:val="24"/>
          <w:rFonts w:hint="eastAsia" w:ascii="CESI黑体-GB2312" w:hAnsi="CESI黑体-GB2312" w:eastAsia="CESI黑体-GB2312" w:cs="CESI黑体-GB2312"/>
          <w:b w:val="0"/>
          <w:bCs w:val="0"/>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bCs w:val="0"/>
          <w:color w:val="404040" w:themeColor="text1" w:themeTint="BF"/>
          <w:sz w:val="30"/>
          <w:szCs w:val="30"/>
          <w14:textFill>
            <w14:solidFill>
              <w14:schemeClr w14:val="tx1">
                <w14:lumMod w14:val="75000"/>
                <w14:lumOff w14:val="25000"/>
              </w14:schemeClr>
            </w14:solidFill>
          </w14:textFill>
        </w:rPr>
        <w:t>第</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八</w:t>
      </w:r>
      <w:r>
        <w:rPr>
          <w:rFonts w:hint="eastAsia" w:ascii="CESI黑体-GB2312" w:hAnsi="CESI黑体-GB2312" w:eastAsia="CESI黑体-GB2312" w:cs="CESI黑体-GB2312"/>
          <w:bCs w:val="0"/>
          <w:color w:val="404040" w:themeColor="text1" w:themeTint="BF"/>
          <w:sz w:val="30"/>
          <w:szCs w:val="30"/>
          <w14:textFill>
            <w14:solidFill>
              <w14:schemeClr w14:val="tx1">
                <w14:lumMod w14:val="75000"/>
                <w14:lumOff w14:val="25000"/>
              </w14:schemeClr>
            </w14:solidFill>
          </w14:textFill>
        </w:rPr>
        <w:t>条</w:t>
      </w:r>
      <w:r>
        <w:rPr>
          <w:rFonts w:hint="eastAsia" w:ascii="CESI黑体-GB2312" w:hAnsi="CESI黑体-GB2312" w:eastAsia="CESI黑体-GB2312" w:cs="CESI黑体-GB2312"/>
          <w:bCs/>
          <w:color w:val="404040" w:themeColor="text1" w:themeTint="BF"/>
          <w:sz w:val="30"/>
          <w:szCs w:val="30"/>
          <w14:textFill>
            <w14:solidFill>
              <w14:schemeClr w14:val="tx1">
                <w14:lumMod w14:val="75000"/>
                <w14:lumOff w14:val="25000"/>
              </w14:schemeClr>
            </w14:solidFill>
          </w14:textFill>
        </w:rPr>
        <w:t xml:space="preserve"> </w:t>
      </w:r>
      <w:r>
        <w:rPr>
          <w:rFonts w:hint="eastAsia" w:ascii="CESI黑体-GB2312" w:hAnsi="CESI黑体-GB2312" w:eastAsia="CESI黑体-GB2312" w:cs="CESI黑体-GB2312"/>
          <w:b w:val="0"/>
          <w:bCs w:val="0"/>
          <w:color w:val="404040" w:themeColor="text1" w:themeTint="BF"/>
          <w:sz w:val="30"/>
          <w:szCs w:val="30"/>
          <w14:textFill>
            <w14:solidFill>
              <w14:schemeClr w14:val="tx1">
                <w14:lumMod w14:val="75000"/>
                <w14:lumOff w14:val="25000"/>
              </w14:schemeClr>
            </w14:solidFill>
          </w14:textFill>
        </w:rPr>
        <w:t>在</w:t>
      </w:r>
      <w:r>
        <w:rPr>
          <w:rStyle w:val="24"/>
          <w:rFonts w:hint="eastAsia" w:ascii="CESI黑体-GB2312" w:hAnsi="CESI黑体-GB2312" w:eastAsia="CESI黑体-GB2312" w:cs="CESI黑体-GB2312"/>
          <w:b w:val="0"/>
          <w:bCs w:val="0"/>
          <w:color w:val="404040" w:themeColor="text1" w:themeTint="BF"/>
          <w:sz w:val="30"/>
          <w:szCs w:val="30"/>
          <w14:textFill>
            <w14:solidFill>
              <w14:schemeClr w14:val="tx1">
                <w14:lumMod w14:val="75000"/>
                <w14:lumOff w14:val="25000"/>
              </w14:schemeClr>
            </w14:solidFill>
          </w14:textFill>
        </w:rPr>
        <w:t>辖区政府指导下，开展现场调查，划定改造范围，可委托专业机构进行现状测绘与安全鉴定。相关报告作为改造依据。</w:t>
      </w:r>
    </w:p>
    <w:p>
      <w:pPr>
        <w:pStyle w:val="3"/>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bCs/>
          <w:color w:val="404040" w:themeColor="text1" w:themeTint="BF"/>
          <w:sz w:val="30"/>
          <w:szCs w:val="30"/>
          <w14:textFill>
            <w14:solidFill>
              <w14:schemeClr w14:val="tx1">
                <w14:lumMod w14:val="75000"/>
                <w14:lumOff w14:val="25000"/>
              </w14:schemeClr>
            </w14:solidFill>
          </w14:textFill>
        </w:rPr>
        <w:t>多产权人的</w:t>
      </w:r>
      <w:r>
        <w:rPr>
          <w:rFonts w:hint="eastAsia" w:ascii="CESI黑体-GB2312" w:hAnsi="CESI黑体-GB2312" w:eastAsia="CESI黑体-GB2312" w:cs="CESI黑体-GB2312"/>
          <w:b w:val="0"/>
          <w:bCs w:val="0"/>
          <w:color w:val="404040" w:themeColor="text1" w:themeTint="BF"/>
          <w:sz w:val="30"/>
          <w:szCs w:val="30"/>
          <w14:textFill>
            <w14:solidFill>
              <w14:schemeClr w14:val="tx1">
                <w14:lumMod w14:val="75000"/>
                <w14:lumOff w14:val="25000"/>
              </w14:schemeClr>
            </w14:solidFill>
          </w14:textFill>
        </w:rPr>
        <w:t>，</w:t>
      </w:r>
      <w:r>
        <w:rPr>
          <w:rFonts w:hint="eastAsia" w:ascii="CESI黑体-GB2312" w:hAnsi="CESI黑体-GB2312" w:eastAsia="CESI黑体-GB2312" w:cs="CESI黑体-GB2312"/>
          <w:bCs/>
          <w:color w:val="404040" w:themeColor="text1" w:themeTint="BF"/>
          <w:sz w:val="30"/>
          <w:szCs w:val="30"/>
          <w14:textFill>
            <w14:solidFill>
              <w14:schemeClr w14:val="tx1">
                <w14:lumMod w14:val="75000"/>
                <w14:lumOff w14:val="25000"/>
              </w14:schemeClr>
            </w14:solidFill>
          </w14:textFill>
        </w:rPr>
        <w:t>需进行意愿征询</w:t>
      </w:r>
      <w:r>
        <w:rPr>
          <w:rFonts w:hint="eastAsia" w:ascii="CESI黑体-GB2312" w:hAnsi="CESI黑体-GB2312" w:eastAsia="CESI黑体-GB2312" w:cs="CESI黑体-GB2312"/>
          <w:bCs/>
          <w:color w:val="404040" w:themeColor="text1" w:themeTint="BF"/>
          <w:sz w:val="30"/>
          <w:szCs w:val="30"/>
          <w:lang w:eastAsia="zh-CN"/>
          <w14:textFill>
            <w14:solidFill>
              <w14:schemeClr w14:val="tx1">
                <w14:lumMod w14:val="75000"/>
                <w14:lumOff w14:val="25000"/>
              </w14:schemeClr>
            </w14:solidFill>
          </w14:textFill>
        </w:rPr>
        <w:t>，</w:t>
      </w:r>
      <w:r>
        <w:rPr>
          <w:rFonts w:hint="eastAsia" w:ascii="CESI黑体-GB2312" w:hAnsi="CESI黑体-GB2312" w:eastAsia="CESI黑体-GB2312" w:cs="CESI黑体-GB2312"/>
          <w:bCs/>
          <w:color w:val="404040" w:themeColor="text1" w:themeTint="BF"/>
          <w:sz w:val="30"/>
          <w:szCs w:val="30"/>
          <w14:textFill>
            <w14:solidFill>
              <w14:schemeClr w14:val="tx1">
                <w14:lumMod w14:val="75000"/>
                <w14:lumOff w14:val="25000"/>
              </w14:schemeClr>
            </w14:solidFill>
          </w14:textFill>
        </w:rPr>
        <w:t>全体同意更新改造的，项目方可启动改造程序。</w:t>
      </w:r>
    </w:p>
    <w:p>
      <w:pPr>
        <w:pStyle w:val="3"/>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所在辖区政府部门、街道社区应当对危旧房改造工作给予支持和引导</w:t>
      </w:r>
      <w:r>
        <w:rPr>
          <w:rFonts w:hint="eastAsia" w:ascii="CESI黑体-GB2312" w:hAnsi="CESI黑体-GB2312" w:eastAsia="CESI黑体-GB2312" w:cs="CESI黑体-GB2312"/>
          <w:color w:val="404040" w:themeColor="text1" w:themeTint="BF"/>
          <w:sz w:val="30"/>
          <w:szCs w:val="30"/>
          <w:lang w:eastAsia="zh-CN"/>
          <w14:textFill>
            <w14:solidFill>
              <w14:schemeClr w14:val="tx1">
                <w14:lumMod w14:val="75000"/>
                <w14:lumOff w14:val="25000"/>
              </w14:schemeClr>
            </w14:solidFill>
          </w14:textFill>
        </w:rPr>
        <w:t>，</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发挥党建引领作用，做好居民的解释和疏导，积极促成项目实施。</w:t>
      </w:r>
    </w:p>
    <w:p>
      <w:pPr>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Style w:val="21"/>
          <w:rFonts w:hint="eastAsia" w:ascii="CESI黑体-GB2312" w:hAnsi="CESI黑体-GB2312" w:eastAsia="CESI黑体-GB2312" w:cs="CESI黑体-GB2312"/>
          <w:bCs/>
          <w:color w:val="404040" w:themeColor="text1" w:themeTint="BF"/>
          <w:sz w:val="30"/>
          <w:szCs w:val="30"/>
          <w14:textFill>
            <w14:solidFill>
              <w14:schemeClr w14:val="tx1">
                <w14:lumMod w14:val="75000"/>
                <w14:lumOff w14:val="25000"/>
              </w14:schemeClr>
            </w14:solidFill>
          </w14:textFill>
        </w:rPr>
        <w:t>第</w:t>
      </w: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九</w:t>
      </w:r>
      <w:r>
        <w:rPr>
          <w:rStyle w:val="21"/>
          <w:rFonts w:hint="eastAsia" w:ascii="CESI黑体-GB2312" w:hAnsi="CESI黑体-GB2312" w:eastAsia="CESI黑体-GB2312" w:cs="CESI黑体-GB2312"/>
          <w:bCs/>
          <w:color w:val="404040" w:themeColor="text1" w:themeTint="BF"/>
          <w:sz w:val="30"/>
          <w:szCs w:val="30"/>
          <w14:textFill>
            <w14:solidFill>
              <w14:schemeClr w14:val="tx1">
                <w14:lumMod w14:val="75000"/>
                <w14:lumOff w14:val="25000"/>
              </w14:schemeClr>
            </w14:solidFill>
          </w14:textFill>
        </w:rPr>
        <w:t>条</w:t>
      </w:r>
      <w:r>
        <w:rPr>
          <w:rFonts w:hint="eastAsia" w:ascii="CESI黑体-GB2312" w:hAnsi="CESI黑体-GB2312" w:eastAsia="CESI黑体-GB2312" w:cs="CESI黑体-GB2312"/>
          <w:b/>
          <w:bCs/>
          <w:color w:val="404040" w:themeColor="text1" w:themeTint="BF"/>
          <w:sz w:val="30"/>
          <w:szCs w:val="30"/>
          <w14:textFill>
            <w14:solidFill>
              <w14:schemeClr w14:val="tx1">
                <w14:lumMod w14:val="75000"/>
                <w14:lumOff w14:val="25000"/>
              </w14:schemeClr>
            </w14:solidFill>
          </w14:textFill>
        </w:rPr>
        <w:t xml:space="preserve"> </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项目建设单位应当委托具有相应资质的单位编制改造方案，统筹考虑安置、资金、建设、后续物业管理、社会稳定风险评估等，结合既有控规情况，多轮协调互动，形成综合最优方案，并征询相关权利人意见，全体产权人同意后方可确定方案。</w:t>
      </w:r>
    </w:p>
    <w:p>
      <w:pPr>
        <w:pStyle w:val="2"/>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改造方案需经属地政府专题会议研究同意后，上报市住房城乡建设局，组织相关市直部门会商后，报请市政府专题会议研究，出具项目确认意见。涉及控规调整的，同步推进控规调整程序。</w:t>
      </w:r>
    </w:p>
    <w:p>
      <w:pPr>
        <w:pStyle w:val="5"/>
        <w:spacing w:before="313" w:beforeLines="100" w:after="313" w:afterLines="100" w:line="560" w:lineRule="exact"/>
        <w:ind w:firstLine="640"/>
        <w:rPr>
          <w:rStyle w:val="24"/>
          <w:rFonts w:hint="eastAsia" w:ascii="CESI黑体-GB2312" w:hAnsi="CESI黑体-GB2312" w:eastAsia="CESI黑体-GB2312" w:cs="CESI黑体-GB2312"/>
          <w:bCs/>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b w:val="0"/>
          <w:bCs w:val="0"/>
          <w:color w:val="404040" w:themeColor="text1" w:themeTint="BF"/>
          <w:sz w:val="30"/>
          <w:szCs w:val="30"/>
          <w14:textFill>
            <w14:solidFill>
              <w14:schemeClr w14:val="tx1">
                <w14:lumMod w14:val="75000"/>
                <w14:lumOff w14:val="25000"/>
              </w14:schemeClr>
            </w14:solidFill>
          </w14:textFill>
        </w:rPr>
        <w:t>第十条</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 </w:t>
      </w:r>
      <w:r>
        <w:rPr>
          <w:rStyle w:val="24"/>
          <w:rFonts w:hint="eastAsia" w:ascii="CESI黑体-GB2312" w:hAnsi="CESI黑体-GB2312" w:eastAsia="CESI黑体-GB2312" w:cs="CESI黑体-GB2312"/>
          <w:bCs/>
          <w:color w:val="404040" w:themeColor="text1" w:themeTint="BF"/>
          <w:sz w:val="30"/>
          <w:szCs w:val="30"/>
          <w14:textFill>
            <w14:solidFill>
              <w14:schemeClr w14:val="tx1">
                <w14:lumMod w14:val="75000"/>
                <w14:lumOff w14:val="25000"/>
              </w14:schemeClr>
            </w14:solidFill>
          </w14:textFill>
        </w:rPr>
        <w:t>确认</w:t>
      </w:r>
      <w:r>
        <w:rPr>
          <w:rStyle w:val="24"/>
          <w:rFonts w:hint="eastAsia" w:ascii="CESI黑体-GB2312" w:hAnsi="CESI黑体-GB2312" w:eastAsia="CESI黑体-GB2312" w:cs="CESI黑体-GB2312"/>
          <w:bCs/>
          <w:color w:val="404040" w:themeColor="text1" w:themeTint="BF"/>
          <w:sz w:val="30"/>
          <w:szCs w:val="30"/>
          <w:highlight w:val="none"/>
          <w14:textFill>
            <w14:solidFill>
              <w14:schemeClr w14:val="tx1">
                <w14:lumMod w14:val="75000"/>
                <w14:lumOff w14:val="25000"/>
              </w14:schemeClr>
            </w14:solidFill>
          </w14:textFill>
        </w:rPr>
        <w:t>通过</w:t>
      </w:r>
      <w:r>
        <w:rPr>
          <w:rStyle w:val="24"/>
          <w:rFonts w:hint="eastAsia" w:ascii="CESI黑体-GB2312" w:hAnsi="CESI黑体-GB2312" w:eastAsia="CESI黑体-GB2312" w:cs="CESI黑体-GB2312"/>
          <w:bCs/>
          <w:color w:val="404040" w:themeColor="text1" w:themeTint="BF"/>
          <w:sz w:val="30"/>
          <w:szCs w:val="30"/>
          <w14:textFill>
            <w14:solidFill>
              <w14:schemeClr w14:val="tx1">
                <w14:lumMod w14:val="75000"/>
                <w14:lumOff w14:val="25000"/>
              </w14:schemeClr>
            </w14:solidFill>
          </w14:textFill>
        </w:rPr>
        <w:t>的方案应在改造现场公示（公示时间不小于15日）。公示期满无异议、异议不成立或异议已妥善处理的，在辖区政府指导下，</w:t>
      </w:r>
      <w:r>
        <w:rPr>
          <w:rStyle w:val="24"/>
          <w:rFonts w:hint="eastAsia" w:ascii="CESI黑体-GB2312" w:hAnsi="CESI黑体-GB2312" w:eastAsia="CESI黑体-GB2312" w:cs="CESI黑体-GB2312"/>
          <w:bCs/>
          <w:color w:val="404040" w:themeColor="text1" w:themeTint="BF"/>
          <w:sz w:val="30"/>
          <w:szCs w:val="30"/>
          <w:lang w:eastAsia="zh-CN"/>
          <w14:textFill>
            <w14:solidFill>
              <w14:schemeClr w14:val="tx1">
                <w14:lumMod w14:val="75000"/>
                <w14:lumOff w14:val="25000"/>
              </w14:schemeClr>
            </w14:solidFill>
          </w14:textFill>
        </w:rPr>
        <w:t>实施主体</w:t>
      </w:r>
      <w:r>
        <w:rPr>
          <w:rStyle w:val="24"/>
          <w:rFonts w:hint="eastAsia" w:ascii="CESI黑体-GB2312" w:hAnsi="CESI黑体-GB2312" w:eastAsia="CESI黑体-GB2312" w:cs="CESI黑体-GB2312"/>
          <w:bCs/>
          <w:color w:val="404040" w:themeColor="text1" w:themeTint="BF"/>
          <w:sz w:val="30"/>
          <w:szCs w:val="30"/>
          <w:lang w:val="en-US" w:eastAsia="zh-CN"/>
          <w14:textFill>
            <w14:solidFill>
              <w14:schemeClr w14:val="tx1">
                <w14:lumMod w14:val="75000"/>
                <w14:lumOff w14:val="25000"/>
              </w14:schemeClr>
            </w14:solidFill>
          </w14:textFill>
        </w:rPr>
        <w:t>或</w:t>
      </w:r>
      <w:r>
        <w:rPr>
          <w:rStyle w:val="24"/>
          <w:rFonts w:hint="eastAsia" w:ascii="CESI黑体-GB2312" w:hAnsi="CESI黑体-GB2312" w:eastAsia="CESI黑体-GB2312" w:cs="CESI黑体-GB2312"/>
          <w:bCs/>
          <w:color w:val="404040" w:themeColor="text1" w:themeTint="BF"/>
          <w:sz w:val="30"/>
          <w:szCs w:val="30"/>
          <w:lang w:eastAsia="zh-CN"/>
          <w14:textFill>
            <w14:solidFill>
              <w14:schemeClr w14:val="tx1">
                <w14:lumMod w14:val="75000"/>
                <w14:lumOff w14:val="25000"/>
              </w14:schemeClr>
            </w14:solidFill>
          </w14:textFill>
        </w:rPr>
        <w:t>建设单位</w:t>
      </w:r>
      <w:r>
        <w:rPr>
          <w:rStyle w:val="24"/>
          <w:rFonts w:hint="eastAsia" w:ascii="CESI黑体-GB2312" w:hAnsi="CESI黑体-GB2312" w:eastAsia="CESI黑体-GB2312" w:cs="CESI黑体-GB2312"/>
          <w:bCs/>
          <w:color w:val="404040" w:themeColor="text1" w:themeTint="BF"/>
          <w:sz w:val="30"/>
          <w:szCs w:val="30"/>
          <w14:textFill>
            <w14:solidFill>
              <w14:schemeClr w14:val="tx1">
                <w14:lumMod w14:val="75000"/>
                <w14:lumOff w14:val="25000"/>
              </w14:schemeClr>
            </w14:solidFill>
          </w14:textFill>
        </w:rPr>
        <w:t>与全体产权人签订正式协议。协议内容应当包括权利义务、违约责任、改造方案、签约时间等。对改造规模在100户以下的项目给予3个月的签约期；100户以上的给予6个月的签约期。规定签约期限内达不到100%签约的，暂缓实施，暂缓3个月后仍达不到100%签约的项目终止实施。终止实施的项目原则上五年内不再启动。</w:t>
      </w:r>
    </w:p>
    <w:p>
      <w:pPr>
        <w:pStyle w:val="3"/>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单一产权的和维修加固类不涉及群众搬迁的，可直接开展下步工作。</w:t>
      </w:r>
    </w:p>
    <w:p>
      <w:pPr>
        <w:pStyle w:val="3"/>
        <w:spacing w:before="313" w:beforeLines="100" w:after="313" w:afterLines="100" w:line="560" w:lineRule="exact"/>
        <w:ind w:firstLine="640"/>
        <w:rPr>
          <w:rStyle w:val="14"/>
          <w:rFonts w:hint="eastAsia" w:ascii="CESI黑体-GB2312" w:hAnsi="CESI黑体-GB2312" w:eastAsia="CESI黑体-GB2312" w:cs="CESI黑体-GB2312"/>
          <w:bCs/>
          <w:color w:val="404040" w:themeColor="text1" w:themeTint="BF"/>
          <w:sz w:val="30"/>
          <w:szCs w:val="30"/>
          <w14:textFill>
            <w14:solidFill>
              <w14:schemeClr w14:val="tx1">
                <w14:lumMod w14:val="75000"/>
                <w14:lumOff w14:val="25000"/>
              </w14:schemeClr>
            </w14:solidFill>
          </w14:textFill>
        </w:rPr>
      </w:pPr>
      <w:r>
        <w:rPr>
          <w:rStyle w:val="21"/>
          <w:rFonts w:hint="eastAsia" w:ascii="CESI黑体-GB2312" w:hAnsi="CESI黑体-GB2312" w:eastAsia="CESI黑体-GB2312" w:cs="CESI黑体-GB2312"/>
          <w:bCs w:val="0"/>
          <w:color w:val="404040" w:themeColor="text1" w:themeTint="BF"/>
          <w:sz w:val="30"/>
          <w:szCs w:val="30"/>
          <w14:textFill>
            <w14:solidFill>
              <w14:schemeClr w14:val="tx1">
                <w14:lumMod w14:val="75000"/>
                <w14:lumOff w14:val="25000"/>
              </w14:schemeClr>
            </w14:solidFill>
          </w14:textFill>
        </w:rPr>
        <w:t>第十</w:t>
      </w: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一</w:t>
      </w:r>
      <w:r>
        <w:rPr>
          <w:rStyle w:val="21"/>
          <w:rFonts w:hint="eastAsia" w:ascii="CESI黑体-GB2312" w:hAnsi="CESI黑体-GB2312" w:eastAsia="CESI黑体-GB2312" w:cs="CESI黑体-GB2312"/>
          <w:bCs w:val="0"/>
          <w:color w:val="404040" w:themeColor="text1" w:themeTint="BF"/>
          <w:sz w:val="30"/>
          <w:szCs w:val="30"/>
          <w14:textFill>
            <w14:solidFill>
              <w14:schemeClr w14:val="tx1">
                <w14:lumMod w14:val="75000"/>
                <w14:lumOff w14:val="25000"/>
              </w14:schemeClr>
            </w14:solidFill>
          </w14:textFill>
        </w:rPr>
        <w:t>条</w:t>
      </w:r>
      <w:r>
        <w:rPr>
          <w:rStyle w:val="21"/>
          <w:rFonts w:hint="eastAsia" w:ascii="CESI黑体-GB2312" w:hAnsi="CESI黑体-GB2312" w:eastAsia="CESI黑体-GB2312" w:cs="CESI黑体-GB2312"/>
          <w:bCs/>
          <w:color w:val="404040" w:themeColor="text1" w:themeTint="BF"/>
          <w:sz w:val="30"/>
          <w:szCs w:val="30"/>
          <w14:textFill>
            <w14:solidFill>
              <w14:schemeClr w14:val="tx1">
                <w14:lumMod w14:val="75000"/>
                <w14:lumOff w14:val="25000"/>
              </w14:schemeClr>
            </w14:solidFill>
          </w14:textFill>
        </w:rPr>
        <w:t xml:space="preserve"> </w:t>
      </w:r>
      <w:r>
        <w:rPr>
          <w:rStyle w:val="14"/>
          <w:rFonts w:hint="eastAsia" w:ascii="CESI黑体-GB2312" w:hAnsi="CESI黑体-GB2312" w:eastAsia="CESI黑体-GB2312" w:cs="CESI黑体-GB2312"/>
          <w:bCs/>
          <w:color w:val="404040" w:themeColor="text1" w:themeTint="BF"/>
          <w:sz w:val="30"/>
          <w:szCs w:val="30"/>
          <w14:textFill>
            <w14:solidFill>
              <w14:schemeClr w14:val="tx1">
                <w14:lumMod w14:val="75000"/>
                <w14:lumOff w14:val="25000"/>
              </w14:schemeClr>
            </w14:solidFill>
          </w14:textFill>
        </w:rPr>
        <w:t>维修加固项目，</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按照市、区事权划分办理立项、规划、建设等手续，按照批准的方案和工程建设标准实施改造。</w:t>
      </w:r>
    </w:p>
    <w:p>
      <w:pPr>
        <w:pStyle w:val="3"/>
        <w:spacing w:before="313" w:beforeLines="100" w:after="313" w:afterLines="100" w:line="560" w:lineRule="exact"/>
        <w:ind w:firstLine="640"/>
        <w:jc w:val="left"/>
        <w:rPr>
          <w:rStyle w:val="26"/>
          <w:rFonts w:hint="eastAsia" w:ascii="CESI黑体-GB2312" w:hAnsi="CESI黑体-GB2312" w:eastAsia="CESI黑体-GB2312" w:cs="CESI黑体-GB2312"/>
          <w:bCs/>
          <w:color w:val="404040" w:themeColor="text1" w:themeTint="BF"/>
          <w:kern w:val="0"/>
          <w:sz w:val="30"/>
          <w:szCs w:val="30"/>
          <w:highlight w:val="none"/>
          <w14:textFill>
            <w14:solidFill>
              <w14:schemeClr w14:val="tx1">
                <w14:lumMod w14:val="75000"/>
                <w14:lumOff w14:val="25000"/>
              </w14:schemeClr>
            </w14:solidFill>
          </w14:textFill>
        </w:rPr>
      </w:pPr>
      <w:r>
        <w:rPr>
          <w:rStyle w:val="26"/>
          <w:rFonts w:hint="eastAsia" w:ascii="CESI黑体-GB2312" w:hAnsi="CESI黑体-GB2312" w:eastAsia="CESI黑体-GB2312" w:cs="CESI黑体-GB2312"/>
          <w:color w:val="404040" w:themeColor="text1" w:themeTint="BF"/>
          <w:kern w:val="0"/>
          <w:sz w:val="30"/>
          <w:szCs w:val="30"/>
          <w:highlight w:val="none"/>
          <w14:textFill>
            <w14:solidFill>
              <w14:schemeClr w14:val="tx1">
                <w14:lumMod w14:val="75000"/>
                <w14:lumOff w14:val="25000"/>
              </w14:schemeClr>
            </w14:solidFill>
          </w14:textFill>
        </w:rPr>
        <w:t>原址翻建项目，</w:t>
      </w:r>
      <w:r>
        <w:rPr>
          <w:rStyle w:val="26"/>
          <w:rFonts w:hint="eastAsia" w:ascii="CESI黑体-GB2312" w:hAnsi="CESI黑体-GB2312" w:eastAsia="CESI黑体-GB2312" w:cs="CESI黑体-GB2312"/>
          <w:color w:val="404040" w:themeColor="text1" w:themeTint="BF"/>
          <w:sz w:val="30"/>
          <w:szCs w:val="30"/>
          <w:highlight w:val="none"/>
          <w:shd w:val="clear" w:color="auto" w:fill="FFFFFF"/>
          <w14:textFill>
            <w14:solidFill>
              <w14:schemeClr w14:val="tx1">
                <w14:lumMod w14:val="75000"/>
                <w14:lumOff w14:val="25000"/>
              </w14:schemeClr>
            </w14:solidFill>
          </w14:textFill>
        </w:rPr>
        <w:t>可继续按原证载土地权利性质使用土地，无需办理供地手续</w:t>
      </w:r>
      <w:bookmarkStart w:id="0" w:name="_Hlk230296688"/>
      <w:r>
        <w:rPr>
          <w:rStyle w:val="26"/>
          <w:rFonts w:hint="eastAsia" w:ascii="CESI黑体-GB2312" w:hAnsi="CESI黑体-GB2312" w:eastAsia="CESI黑体-GB2312" w:cs="CESI黑体-GB2312"/>
          <w:color w:val="404040" w:themeColor="text1" w:themeTint="BF"/>
          <w:kern w:val="44"/>
          <w:sz w:val="30"/>
          <w:szCs w:val="30"/>
          <w:highlight w:val="none"/>
          <w:shd w:val="clear" w:color="auto" w:fill="FFFFFF"/>
          <w:lang w:val="en-US" w:eastAsia="zh-CN" w:bidi="ar-SA"/>
          <w14:textFill>
            <w14:solidFill>
              <w14:schemeClr w14:val="tx1">
                <w14:lumMod w14:val="75000"/>
                <w14:lumOff w14:val="25000"/>
              </w14:schemeClr>
            </w14:solidFill>
          </w14:textFill>
        </w:rPr>
        <w:t>，</w:t>
      </w:r>
      <w:r>
        <w:rPr>
          <w:rStyle w:val="26"/>
          <w:rFonts w:hint="eastAsia" w:ascii="CESI黑体-GB2312" w:hAnsi="CESI黑体-GB2312" w:eastAsia="CESI黑体-GB2312" w:cs="CESI黑体-GB2312"/>
          <w:color w:val="404040" w:themeColor="text1" w:themeTint="BF"/>
          <w:kern w:val="44"/>
          <w:sz w:val="30"/>
          <w:szCs w:val="30"/>
          <w:highlight w:val="none"/>
          <w:u w:val="none"/>
          <w:shd w:val="clear" w:color="auto" w:fill="FFFFFF"/>
          <w:lang w:val="en-US" w:eastAsia="zh-CN" w:bidi="ar-SA"/>
          <w14:textFill>
            <w14:solidFill>
              <w14:schemeClr w14:val="tx1">
                <w14:lumMod w14:val="75000"/>
                <w14:lumOff w14:val="25000"/>
              </w14:schemeClr>
            </w14:solidFill>
          </w14:textFill>
        </w:rPr>
        <w:t>具体期限按国家和省级规定执行。</w:t>
      </w:r>
      <w:r>
        <w:rPr>
          <w:rStyle w:val="26"/>
          <w:rFonts w:hint="eastAsia" w:ascii="CESI黑体-GB2312" w:hAnsi="CESI黑体-GB2312" w:eastAsia="CESI黑体-GB2312" w:cs="CESI黑体-GB2312"/>
          <w:color w:val="404040" w:themeColor="text1" w:themeTint="BF"/>
          <w:kern w:val="0"/>
          <w:sz w:val="30"/>
          <w:szCs w:val="30"/>
          <w:highlight w:val="none"/>
          <w14:textFill>
            <w14:solidFill>
              <w14:schemeClr w14:val="tx1">
                <w14:lumMod w14:val="75000"/>
                <w14:lumOff w14:val="25000"/>
              </w14:schemeClr>
            </w14:solidFill>
          </w14:textFill>
        </w:rPr>
        <w:t>按照</w:t>
      </w:r>
      <w:r>
        <w:rPr>
          <w:rStyle w:val="26"/>
          <w:rFonts w:hint="eastAsia" w:ascii="CESI黑体-GB2312" w:hAnsi="CESI黑体-GB2312" w:eastAsia="CESI黑体-GB2312" w:cs="CESI黑体-GB2312"/>
          <w:color w:val="404040" w:themeColor="text1" w:themeTint="BF"/>
          <w:sz w:val="30"/>
          <w:szCs w:val="30"/>
          <w:highlight w:val="none"/>
          <w14:textFill>
            <w14:solidFill>
              <w14:schemeClr w14:val="tx1">
                <w14:lumMod w14:val="75000"/>
                <w14:lumOff w14:val="25000"/>
              </w14:schemeClr>
            </w14:solidFill>
          </w14:textFill>
        </w:rPr>
        <w:t>市、区事权划分办理</w:t>
      </w:r>
      <w:r>
        <w:rPr>
          <w:rStyle w:val="26"/>
          <w:rFonts w:hint="eastAsia" w:ascii="CESI黑体-GB2312" w:hAnsi="CESI黑体-GB2312" w:eastAsia="CESI黑体-GB2312" w:cs="CESI黑体-GB2312"/>
          <w:color w:val="404040" w:themeColor="text1" w:themeTint="BF"/>
          <w:kern w:val="0"/>
          <w:sz w:val="30"/>
          <w:szCs w:val="30"/>
          <w:highlight w:val="none"/>
          <w14:textFill>
            <w14:solidFill>
              <w14:schemeClr w14:val="tx1">
                <w14:lumMod w14:val="75000"/>
                <w14:lumOff w14:val="25000"/>
              </w14:schemeClr>
            </w14:solidFill>
          </w14:textFill>
        </w:rPr>
        <w:t>立项、</w:t>
      </w:r>
      <w:r>
        <w:rPr>
          <w:rStyle w:val="26"/>
          <w:rFonts w:hint="eastAsia" w:ascii="CESI黑体-GB2312" w:hAnsi="CESI黑体-GB2312" w:eastAsia="CESI黑体-GB2312" w:cs="CESI黑体-GB2312"/>
          <w:color w:val="404040" w:themeColor="text1" w:themeTint="BF"/>
          <w:sz w:val="30"/>
          <w:szCs w:val="30"/>
          <w:highlight w:val="none"/>
          <w14:textFill>
            <w14:solidFill>
              <w14:schemeClr w14:val="tx1">
                <w14:lumMod w14:val="75000"/>
                <w14:lumOff w14:val="25000"/>
              </w14:schemeClr>
            </w14:solidFill>
          </w14:textFill>
        </w:rPr>
        <w:t>规划、建设等手续，按照批准的方案和工程建设标准实施改造。</w:t>
      </w:r>
      <w:bookmarkEnd w:id="0"/>
    </w:p>
    <w:p>
      <w:pPr>
        <w:pStyle w:val="3"/>
        <w:spacing w:before="313" w:beforeLines="100" w:after="313" w:afterLines="100" w:line="560" w:lineRule="exact"/>
        <w:ind w:firstLine="640"/>
        <w:jc w:val="left"/>
        <w:rPr>
          <w:rFonts w:hint="eastAsia" w:ascii="CESI黑体-GB2312" w:hAnsi="CESI黑体-GB2312" w:eastAsia="CESI黑体-GB2312" w:cs="CESI黑体-GB2312"/>
          <w:color w:val="404040" w:themeColor="text1" w:themeTint="BF"/>
          <w:sz w:val="30"/>
          <w:szCs w:val="30"/>
          <w:highlight w:val="none"/>
          <w14:textFill>
            <w14:solidFill>
              <w14:schemeClr w14:val="tx1">
                <w14:lumMod w14:val="75000"/>
                <w14:lumOff w14:val="25000"/>
              </w14:schemeClr>
            </w14:solidFill>
          </w14:textFill>
        </w:rPr>
      </w:pPr>
      <w:r>
        <w:rPr>
          <w:rStyle w:val="26"/>
          <w:rFonts w:hint="eastAsia" w:ascii="CESI黑体-GB2312" w:hAnsi="CESI黑体-GB2312" w:eastAsia="CESI黑体-GB2312" w:cs="CESI黑体-GB2312"/>
          <w:color w:val="404040" w:themeColor="text1" w:themeTint="BF"/>
          <w:kern w:val="0"/>
          <w:sz w:val="30"/>
          <w:szCs w:val="30"/>
          <w:highlight w:val="none"/>
          <w:lang w:bidi="ar"/>
          <w14:textFill>
            <w14:solidFill>
              <w14:schemeClr w14:val="tx1">
                <w14:lumMod w14:val="75000"/>
                <w14:lumOff w14:val="25000"/>
              </w14:schemeClr>
            </w14:solidFill>
          </w14:textFill>
        </w:rPr>
        <w:t>原址重建项目，依法依规收储、</w:t>
      </w:r>
      <w:r>
        <w:rPr>
          <w:rFonts w:hint="eastAsia" w:ascii="CESI黑体-GB2312" w:hAnsi="CESI黑体-GB2312" w:eastAsia="CESI黑体-GB2312" w:cs="CESI黑体-GB2312"/>
          <w:color w:val="404040" w:themeColor="text1" w:themeTint="BF"/>
          <w:kern w:val="44"/>
          <w:sz w:val="30"/>
          <w:szCs w:val="30"/>
          <w:lang w:val="en-US" w:eastAsia="zh-CN" w:bidi="ar-SA"/>
          <w14:textFill>
            <w14:solidFill>
              <w14:schemeClr w14:val="tx1">
                <w14:lumMod w14:val="75000"/>
                <w14:lumOff w14:val="25000"/>
              </w14:schemeClr>
            </w14:solidFill>
          </w14:textFill>
        </w:rPr>
        <w:t>重新</w:t>
      </w:r>
      <w:r>
        <w:rPr>
          <w:rStyle w:val="26"/>
          <w:rFonts w:hint="eastAsia" w:ascii="CESI黑体-GB2312" w:hAnsi="CESI黑体-GB2312" w:eastAsia="CESI黑体-GB2312" w:cs="CESI黑体-GB2312"/>
          <w:color w:val="404040" w:themeColor="text1" w:themeTint="BF"/>
          <w:kern w:val="0"/>
          <w:sz w:val="30"/>
          <w:szCs w:val="30"/>
          <w:highlight w:val="none"/>
          <w:lang w:bidi="ar"/>
          <w14:textFill>
            <w14:solidFill>
              <w14:schemeClr w14:val="tx1">
                <w14:lumMod w14:val="75000"/>
                <w14:lumOff w14:val="25000"/>
              </w14:schemeClr>
            </w14:solidFill>
          </w14:textFill>
        </w:rPr>
        <w:t>供地后，办理</w:t>
      </w:r>
      <w:r>
        <w:rPr>
          <w:rStyle w:val="26"/>
          <w:rFonts w:hint="eastAsia" w:ascii="CESI黑体-GB2312" w:hAnsi="CESI黑体-GB2312" w:eastAsia="CESI黑体-GB2312" w:cs="CESI黑体-GB2312"/>
          <w:color w:val="404040" w:themeColor="text1" w:themeTint="BF"/>
          <w:kern w:val="0"/>
          <w:sz w:val="30"/>
          <w:szCs w:val="30"/>
          <w:highlight w:val="none"/>
          <w14:textFill>
            <w14:solidFill>
              <w14:schemeClr w14:val="tx1">
                <w14:lumMod w14:val="75000"/>
                <w14:lumOff w14:val="25000"/>
              </w14:schemeClr>
            </w14:solidFill>
          </w14:textFill>
        </w:rPr>
        <w:t>立项、用地、规划、建设</w:t>
      </w:r>
      <w:r>
        <w:rPr>
          <w:rStyle w:val="26"/>
          <w:rFonts w:hint="eastAsia" w:ascii="CESI黑体-GB2312" w:hAnsi="CESI黑体-GB2312" w:eastAsia="CESI黑体-GB2312" w:cs="CESI黑体-GB2312"/>
          <w:color w:val="404040" w:themeColor="text1" w:themeTint="BF"/>
          <w:kern w:val="0"/>
          <w:sz w:val="30"/>
          <w:szCs w:val="30"/>
          <w:highlight w:val="none"/>
          <w:lang w:bidi="ar"/>
          <w14:textFill>
            <w14:solidFill>
              <w14:schemeClr w14:val="tx1">
                <w14:lumMod w14:val="75000"/>
                <w14:lumOff w14:val="25000"/>
              </w14:schemeClr>
            </w14:solidFill>
          </w14:textFill>
        </w:rPr>
        <w:t>等手续，</w:t>
      </w:r>
      <w:r>
        <w:rPr>
          <w:rFonts w:hint="eastAsia" w:ascii="CESI黑体-GB2312" w:hAnsi="CESI黑体-GB2312" w:eastAsia="CESI黑体-GB2312" w:cs="CESI黑体-GB2312"/>
          <w:color w:val="404040" w:themeColor="text1" w:themeTint="BF"/>
          <w:sz w:val="30"/>
          <w:szCs w:val="30"/>
          <w:highlight w:val="none"/>
          <w14:textFill>
            <w14:solidFill>
              <w14:schemeClr w14:val="tx1">
                <w14:lumMod w14:val="75000"/>
                <w14:lumOff w14:val="25000"/>
              </w14:schemeClr>
            </w14:solidFill>
          </w14:textFill>
        </w:rPr>
        <w:t>按照批准的方案和工程建设标准实施改造。</w:t>
      </w:r>
    </w:p>
    <w:p>
      <w:pPr>
        <w:pStyle w:val="3"/>
        <w:spacing w:before="313" w:beforeLines="100" w:after="313" w:afterLines="100" w:line="560" w:lineRule="exact"/>
        <w:ind w:firstLine="640"/>
        <w:jc w:val="left"/>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涉及房屋拆除的由辖区政府加强监管。</w:t>
      </w:r>
    </w:p>
    <w:p>
      <w:pPr>
        <w:pStyle w:val="6"/>
        <w:spacing w:before="313" w:beforeLines="100" w:after="313" w:afterLines="100" w:line="560" w:lineRule="exact"/>
        <w:ind w:firstLine="641"/>
        <w:jc w:val="both"/>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Style w:val="21"/>
          <w:rFonts w:hint="eastAsia" w:ascii="CESI黑体-GB2312" w:hAnsi="CESI黑体-GB2312" w:eastAsia="CESI黑体-GB2312" w:cs="CESI黑体-GB2312"/>
          <w:bCs/>
          <w:color w:val="404040" w:themeColor="text1" w:themeTint="BF"/>
          <w:sz w:val="30"/>
          <w:szCs w:val="30"/>
          <w14:textFill>
            <w14:solidFill>
              <w14:schemeClr w14:val="tx1">
                <w14:lumMod w14:val="75000"/>
                <w14:lumOff w14:val="25000"/>
              </w14:schemeClr>
            </w14:solidFill>
          </w14:textFill>
        </w:rPr>
        <w:t>第十</w:t>
      </w: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二</w:t>
      </w:r>
      <w:r>
        <w:rPr>
          <w:rStyle w:val="21"/>
          <w:rFonts w:hint="eastAsia" w:ascii="CESI黑体-GB2312" w:hAnsi="CESI黑体-GB2312" w:eastAsia="CESI黑体-GB2312" w:cs="CESI黑体-GB2312"/>
          <w:bCs/>
          <w:color w:val="404040" w:themeColor="text1" w:themeTint="BF"/>
          <w:sz w:val="30"/>
          <w:szCs w:val="30"/>
          <w14:textFill>
            <w14:solidFill>
              <w14:schemeClr w14:val="tx1">
                <w14:lumMod w14:val="75000"/>
                <w14:lumOff w14:val="25000"/>
              </w14:schemeClr>
            </w14:solidFill>
          </w14:textFill>
        </w:rPr>
        <w:t>条</w:t>
      </w:r>
      <w:r>
        <w:rPr>
          <w:rFonts w:hint="eastAsia" w:ascii="CESI黑体-GB2312" w:hAnsi="CESI黑体-GB2312" w:eastAsia="CESI黑体-GB2312" w:cs="CESI黑体-GB2312"/>
          <w:b/>
          <w:bCs/>
          <w:color w:val="404040" w:themeColor="text1" w:themeTint="BF"/>
          <w:sz w:val="30"/>
          <w:szCs w:val="30"/>
          <w14:textFill>
            <w14:solidFill>
              <w14:schemeClr w14:val="tx1">
                <w14:lumMod w14:val="75000"/>
                <w14:lumOff w14:val="25000"/>
              </w14:schemeClr>
            </w14:solidFill>
          </w14:textFill>
        </w:rPr>
        <w:t xml:space="preserve"> </w:t>
      </w: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工程完工后，项目建设单位应当按规定办理规划核实、竣工验收等</w:t>
      </w:r>
      <w:r>
        <w:rPr>
          <w:rStyle w:val="24"/>
          <w:rFonts w:hint="eastAsia" w:ascii="CESI黑体-GB2312" w:hAnsi="CESI黑体-GB2312" w:eastAsia="CESI黑体-GB2312" w:cs="CESI黑体-GB2312"/>
          <w:color w:val="404040" w:themeColor="text1" w:themeTint="BF"/>
          <w:sz w:val="30"/>
          <w:szCs w:val="30"/>
          <w:lang w:eastAsia="zh-CN"/>
          <w14:textFill>
            <w14:solidFill>
              <w14:schemeClr w14:val="tx1">
                <w14:lumMod w14:val="75000"/>
                <w14:lumOff w14:val="25000"/>
              </w14:schemeClr>
            </w14:solidFill>
          </w14:textFill>
        </w:rPr>
        <w:t>手续</w:t>
      </w: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，验收合格后方可交付使用。</w:t>
      </w:r>
    </w:p>
    <w:p>
      <w:pPr>
        <w:pStyle w:val="6"/>
        <w:spacing w:before="313" w:beforeLines="100" w:after="313" w:afterLines="100" w:line="560" w:lineRule="exact"/>
        <w:ind w:firstLine="641"/>
        <w:jc w:val="both"/>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辖区政府应积极指导引入或组建优质物业服务企业，建立长效管理机制，巩固改造成果。</w:t>
      </w:r>
    </w:p>
    <w:p>
      <w:pPr>
        <w:pStyle w:val="3"/>
        <w:shd w:val="clear" w:color="auto" w:fill="FFFFFF"/>
        <w:spacing w:before="313" w:beforeLines="100" w:beforeAutospacing="0" w:after="313" w:afterLines="100" w:afterAutospacing="0" w:line="560" w:lineRule="exact"/>
        <w:ind w:firstLine="640"/>
        <w:rPr>
          <w:rFonts w:hint="eastAsia" w:ascii="CESI黑体-GB2312" w:hAnsi="CESI黑体-GB2312" w:eastAsia="CESI黑体-GB2312" w:cs="CESI黑体-GB2312"/>
          <w:color w:val="404040" w:themeColor="text1" w:themeTint="BF"/>
          <w:sz w:val="30"/>
          <w:szCs w:val="30"/>
          <w:highlight w:val="none"/>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第十三条</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 </w:t>
      </w:r>
      <w:r>
        <w:rPr>
          <w:rFonts w:hint="eastAsia" w:ascii="CESI黑体-GB2312" w:hAnsi="CESI黑体-GB2312" w:eastAsia="CESI黑体-GB2312" w:cs="CESI黑体-GB2312"/>
          <w:color w:val="404040" w:themeColor="text1" w:themeTint="BF"/>
          <w:sz w:val="30"/>
          <w:szCs w:val="30"/>
          <w:highlight w:val="none"/>
          <w:shd w:val="clear" w:color="auto" w:fill="FFFFFF"/>
          <w14:textFill>
            <w14:solidFill>
              <w14:schemeClr w14:val="tx1">
                <w14:lumMod w14:val="75000"/>
                <w14:lumOff w14:val="25000"/>
              </w14:schemeClr>
            </w14:solidFill>
          </w14:textFill>
        </w:rPr>
        <w:t>产权登记</w:t>
      </w:r>
      <w:r>
        <w:rPr>
          <w:rFonts w:hint="eastAsia" w:ascii="CESI黑体-GB2312" w:hAnsi="CESI黑体-GB2312" w:eastAsia="CESI黑体-GB2312" w:cs="CESI黑体-GB2312"/>
          <w:color w:val="404040" w:themeColor="text1" w:themeTint="BF"/>
          <w:sz w:val="30"/>
          <w:szCs w:val="30"/>
          <w:highlight w:val="none"/>
          <w14:textFill>
            <w14:solidFill>
              <w14:schemeClr w14:val="tx1">
                <w14:lumMod w14:val="75000"/>
                <w14:lumOff w14:val="25000"/>
              </w14:schemeClr>
            </w14:solidFill>
          </w14:textFill>
        </w:rPr>
        <w:t>阶段，原址翻建项目</w:t>
      </w:r>
      <w:r>
        <w:rPr>
          <w:rFonts w:hint="eastAsia" w:ascii="CESI黑体-GB2312" w:hAnsi="CESI黑体-GB2312" w:eastAsia="CESI黑体-GB2312" w:cs="CESI黑体-GB2312"/>
          <w:color w:val="404040" w:themeColor="text1" w:themeTint="BF"/>
          <w:sz w:val="30"/>
          <w:szCs w:val="30"/>
          <w:highlight w:val="none"/>
          <w:lang w:val="en-US" w:eastAsia="zh-CN"/>
          <w14:textFill>
            <w14:solidFill>
              <w14:schemeClr w14:val="tx1">
                <w14:lumMod w14:val="75000"/>
                <w14:lumOff w14:val="25000"/>
              </w14:schemeClr>
            </w14:solidFill>
          </w14:textFill>
        </w:rPr>
        <w:t>需</w:t>
      </w:r>
      <w:r>
        <w:rPr>
          <w:rFonts w:hint="eastAsia" w:ascii="CESI黑体-GB2312" w:hAnsi="CESI黑体-GB2312" w:eastAsia="CESI黑体-GB2312" w:cs="CESI黑体-GB2312"/>
          <w:color w:val="404040" w:themeColor="text1" w:themeTint="BF"/>
          <w:sz w:val="30"/>
          <w:szCs w:val="30"/>
          <w:highlight w:val="none"/>
          <w14:textFill>
            <w14:solidFill>
              <w14:schemeClr w14:val="tx1">
                <w14:lumMod w14:val="75000"/>
                <w14:lumOff w14:val="25000"/>
              </w14:schemeClr>
            </w14:solidFill>
          </w14:textFill>
        </w:rPr>
        <w:t>提供</w:t>
      </w:r>
      <w:r>
        <w:rPr>
          <w:rFonts w:hint="eastAsia" w:ascii="CESI黑体-GB2312" w:hAnsi="CESI黑体-GB2312" w:eastAsia="CESI黑体-GB2312" w:cs="CESI黑体-GB2312"/>
          <w:color w:val="404040" w:themeColor="text1" w:themeTint="BF"/>
          <w:sz w:val="30"/>
          <w:szCs w:val="30"/>
          <w:highlight w:val="none"/>
          <w:lang w:val="en-US" w:eastAsia="zh-CN"/>
          <w14:textFill>
            <w14:solidFill>
              <w14:schemeClr w14:val="tx1">
                <w14:lumMod w14:val="75000"/>
                <w14:lumOff w14:val="25000"/>
              </w14:schemeClr>
            </w14:solidFill>
          </w14:textFill>
        </w:rPr>
        <w:t>翻建时</w:t>
      </w:r>
      <w:r>
        <w:rPr>
          <w:rFonts w:hint="eastAsia" w:ascii="CESI黑体-GB2312" w:hAnsi="CESI黑体-GB2312" w:eastAsia="CESI黑体-GB2312" w:cs="CESI黑体-GB2312"/>
          <w:color w:val="404040" w:themeColor="text1" w:themeTint="BF"/>
          <w:sz w:val="30"/>
          <w:szCs w:val="30"/>
          <w:highlight w:val="none"/>
          <w14:textFill>
            <w14:solidFill>
              <w14:schemeClr w14:val="tx1">
                <w14:lumMod w14:val="75000"/>
                <w14:lumOff w14:val="25000"/>
              </w14:schemeClr>
            </w14:solidFill>
          </w14:textFill>
        </w:rPr>
        <w:t>规划许可、竣工备案手续，</w:t>
      </w:r>
      <w:r>
        <w:rPr>
          <w:rFonts w:hint="eastAsia" w:ascii="CESI黑体-GB2312" w:hAnsi="CESI黑体-GB2312" w:eastAsia="CESI黑体-GB2312" w:cs="CESI黑体-GB2312"/>
          <w:color w:val="404040" w:themeColor="text1" w:themeTint="BF"/>
          <w:sz w:val="30"/>
          <w:szCs w:val="30"/>
          <w:highlight w:val="none"/>
          <w:lang w:val="en-US" w:eastAsia="zh-CN"/>
          <w14:textFill>
            <w14:solidFill>
              <w14:schemeClr w14:val="tx1">
                <w14:lumMod w14:val="75000"/>
                <w14:lumOff w14:val="25000"/>
              </w14:schemeClr>
            </w14:solidFill>
          </w14:textFill>
        </w:rPr>
        <w:t>持相关手续</w:t>
      </w:r>
      <w:r>
        <w:rPr>
          <w:rFonts w:hint="eastAsia" w:ascii="CESI黑体-GB2312" w:hAnsi="CESI黑体-GB2312" w:eastAsia="CESI黑体-GB2312" w:cs="CESI黑体-GB2312"/>
          <w:color w:val="404040" w:themeColor="text1" w:themeTint="BF"/>
          <w:sz w:val="30"/>
          <w:szCs w:val="30"/>
          <w:highlight w:val="none"/>
          <w14:textFill>
            <w14:solidFill>
              <w14:schemeClr w14:val="tx1">
                <w14:lumMod w14:val="75000"/>
                <w14:lumOff w14:val="25000"/>
              </w14:schemeClr>
            </w14:solidFill>
          </w14:textFill>
        </w:rPr>
        <w:t>按变更登记程序办理。</w:t>
      </w:r>
    </w:p>
    <w:p>
      <w:pPr>
        <w:pStyle w:val="3"/>
        <w:shd w:val="clear" w:color="auto" w:fill="FFFFFF"/>
        <w:spacing w:before="313" w:beforeLines="100" w:beforeAutospacing="0" w:after="313" w:afterLines="100" w:afterAutospacing="0" w:line="560" w:lineRule="exact"/>
        <w:ind w:firstLine="640"/>
        <w:rPr>
          <w:rFonts w:hint="eastAsia" w:ascii="CESI黑体-GB2312" w:hAnsi="CESI黑体-GB2312" w:eastAsia="CESI黑体-GB2312" w:cs="CESI黑体-GB2312"/>
          <w:color w:val="404040" w:themeColor="text1" w:themeTint="BF"/>
          <w:sz w:val="30"/>
          <w:szCs w:val="30"/>
          <w:highlight w:val="none"/>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highlight w:val="none"/>
          <w14:textFill>
            <w14:solidFill>
              <w14:schemeClr w14:val="tx1">
                <w14:lumMod w14:val="75000"/>
                <w14:lumOff w14:val="25000"/>
              </w14:schemeClr>
            </w14:solidFill>
          </w14:textFill>
        </w:rPr>
        <w:t>原址重建项目，按照首次登记程序办理，</w:t>
      </w:r>
      <w:r>
        <w:rPr>
          <w:rFonts w:hint="eastAsia" w:ascii="CESI黑体-GB2312" w:hAnsi="CESI黑体-GB2312" w:eastAsia="CESI黑体-GB2312" w:cs="CESI黑体-GB2312"/>
          <w:color w:val="404040" w:themeColor="text1" w:themeTint="BF"/>
          <w:sz w:val="30"/>
          <w:szCs w:val="30"/>
          <w:highlight w:val="none"/>
          <w:lang w:val="en-US" w:eastAsia="zh-CN"/>
          <w14:textFill>
            <w14:solidFill>
              <w14:schemeClr w14:val="tx1">
                <w14:lumMod w14:val="75000"/>
                <w14:lumOff w14:val="25000"/>
              </w14:schemeClr>
            </w14:solidFill>
          </w14:textFill>
        </w:rPr>
        <w:t>需提交新的土地、规划、竣工等相关材料</w:t>
      </w:r>
      <w:r>
        <w:rPr>
          <w:rFonts w:hint="eastAsia" w:ascii="CESI黑体-GB2312" w:hAnsi="CESI黑体-GB2312" w:eastAsia="CESI黑体-GB2312" w:cs="CESI黑体-GB2312"/>
          <w:color w:val="404040" w:themeColor="text1" w:themeTint="BF"/>
          <w:sz w:val="30"/>
          <w:szCs w:val="30"/>
          <w:highlight w:val="none"/>
          <w14:textFill>
            <w14:solidFill>
              <w14:schemeClr w14:val="tx1">
                <w14:lumMod w14:val="75000"/>
                <w14:lumOff w14:val="25000"/>
              </w14:schemeClr>
            </w14:solidFill>
          </w14:textFill>
        </w:rPr>
        <w:t>。</w:t>
      </w:r>
    </w:p>
    <w:p>
      <w:pPr>
        <w:spacing w:before="313" w:beforeLines="100" w:after="313" w:afterLines="100" w:line="560" w:lineRule="exact"/>
        <w:ind w:firstLine="643"/>
        <w:rPr>
          <w:rFonts w:hint="eastAsia" w:ascii="CESI黑体-GB2312" w:hAnsi="CESI黑体-GB2312" w:eastAsia="CESI黑体-GB2312" w:cs="CESI黑体-GB2312"/>
          <w:b/>
          <w:bCs/>
          <w:color w:val="404040" w:themeColor="text1" w:themeTint="BF"/>
          <w:sz w:val="30"/>
          <w:szCs w:val="30"/>
          <w14:textFill>
            <w14:solidFill>
              <w14:schemeClr w14:val="tx1">
                <w14:lumMod w14:val="75000"/>
                <w14:lumOff w14:val="25000"/>
              </w14:schemeClr>
            </w14:solidFill>
          </w14:textFill>
        </w:rPr>
      </w:pPr>
    </w:p>
    <w:p>
      <w:pPr>
        <w:pStyle w:val="4"/>
        <w:spacing w:before="313" w:beforeLines="100" w:after="313" w:afterLines="100" w:line="560" w:lineRule="exact"/>
        <w:ind w:firstLine="640"/>
        <w:jc w:val="cente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第三章 政策支持</w:t>
      </w:r>
    </w:p>
    <w:p>
      <w:pPr>
        <w:pStyle w:val="6"/>
        <w:spacing w:before="313" w:beforeLines="100" w:after="313" w:afterLines="100" w:line="560" w:lineRule="exact"/>
        <w:ind w:firstLine="600" w:firstLineChars="200"/>
        <w:jc w:val="both"/>
        <w:rPr>
          <w:rStyle w:val="21"/>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pPr>
      <w:r>
        <w:rPr>
          <w:rStyle w:val="21"/>
          <w:rFonts w:hint="eastAsia" w:ascii="CESI黑体-GB2312" w:hAnsi="CESI黑体-GB2312" w:eastAsia="CESI黑体-GB2312" w:cs="CESI黑体-GB2312"/>
          <w:b w:val="0"/>
          <w:bCs w:val="0"/>
          <w:color w:val="404040" w:themeColor="text1" w:themeTint="BF"/>
          <w:sz w:val="30"/>
          <w:szCs w:val="30"/>
          <w14:textFill>
            <w14:solidFill>
              <w14:schemeClr w14:val="tx1">
                <w14:lumMod w14:val="75000"/>
                <w14:lumOff w14:val="25000"/>
              </w14:schemeClr>
            </w14:solidFill>
          </w14:textFill>
        </w:rPr>
        <w:t>第十四条</w:t>
      </w: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 危旧房更新改造，属于城市更新，适用相关政策。</w:t>
      </w:r>
      <w:r>
        <w:rPr>
          <w:rStyle w:val="24"/>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t>鼓励纳入城市更新片区统筹谋划。</w:t>
      </w:r>
    </w:p>
    <w:p>
      <w:pPr>
        <w:pStyle w:val="6"/>
        <w:spacing w:before="313" w:beforeLines="100" w:after="313" w:afterLines="100" w:line="560" w:lineRule="exact"/>
        <w:ind w:firstLine="643"/>
        <w:jc w:val="both"/>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第十五条</w:t>
      </w:r>
      <w:r>
        <w:rPr>
          <w:rStyle w:val="25"/>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 </w:t>
      </w: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原址翻建、原址重建项目在符合规划和征得相关权利人同意的前提下，可以将周边的边角地、夹心地、插花地等不具备独立开发条件的零星土地纳入改造范围进行整体利用，重点用于完善区域公共服务设施，符合相关条件的可</w:t>
      </w:r>
      <w:r>
        <w:rPr>
          <w:rStyle w:val="24"/>
          <w:rFonts w:hint="eastAsia" w:ascii="CESI黑体-GB2312" w:hAnsi="CESI黑体-GB2312" w:eastAsia="CESI黑体-GB2312" w:cs="CESI黑体-GB2312"/>
          <w:color w:val="404040" w:themeColor="text1" w:themeTint="BF"/>
          <w:sz w:val="30"/>
          <w:szCs w:val="30"/>
          <w:lang w:eastAsia="zh-CN"/>
          <w14:textFill>
            <w14:solidFill>
              <w14:schemeClr w14:val="tx1">
                <w14:lumMod w14:val="75000"/>
                <w14:lumOff w14:val="25000"/>
              </w14:schemeClr>
            </w14:solidFill>
          </w14:textFill>
        </w:rPr>
        <w:t>通过</w:t>
      </w: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协议出让方式办理用地手续。</w:t>
      </w:r>
    </w:p>
    <w:p>
      <w:pPr>
        <w:pStyle w:val="6"/>
        <w:spacing w:before="313" w:beforeLines="100" w:after="313" w:afterLines="100" w:line="560" w:lineRule="exact"/>
        <w:ind w:firstLine="643"/>
        <w:jc w:val="both"/>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第十六条</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 </w:t>
      </w: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原址重建项目，支持经政府授权的国有企业或符合条件的市场主体，按照自愿、公平、等价有偿的原则，通过产权收购、利用收储存量商品房置换等方式，将特定区域内分散的土地使用权及房屋所有权归集至单一主体，待形成净地后向土地储备机构申请收储后，可以带规公开出让等方式依法依规办理用地手续。</w:t>
      </w:r>
    </w:p>
    <w:p>
      <w:pPr>
        <w:pStyle w:val="11"/>
        <w:widowControl w:val="0"/>
        <w:spacing w:before="313" w:beforeLines="100" w:beforeAutospacing="0" w:after="313" w:afterLines="100" w:afterAutospacing="0" w:line="560" w:lineRule="exact"/>
        <w:ind w:firstLine="640"/>
        <w:textAlignment w:val="baseline"/>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第十七条</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 维修加固项目为补齐基本居住功能，在确保安全的前提下，于建筑物范围内增加厨房、卫生间、阳台等，可免于办理建设工程规划许可。</w:t>
      </w:r>
    </w:p>
    <w:p>
      <w:pPr>
        <w:spacing w:before="313" w:beforeLines="100" w:after="313" w:afterLines="100" w:line="560" w:lineRule="exact"/>
        <w:ind w:firstLine="579" w:firstLineChars="193"/>
        <w:rPr>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第十八条</w:t>
      </w:r>
      <w:r>
        <w:rPr>
          <w:rStyle w:val="25"/>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 </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原址翻建项目为满足基本生活需求，改善人居环境，可适当增加建筑面积</w:t>
      </w:r>
      <w:r>
        <w:rPr>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t>和面积控制指标</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。项目建筑面积原则上以产权证书登记的面积为准，在日照等条件允许的前提下，</w:t>
      </w:r>
      <w:r>
        <w:rPr>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新增建筑面积不超过原面积20%的建筑面积，其中10%用于加装电梯和建设公共服务及配套设施（该部分</w:t>
      </w:r>
      <w:r>
        <w:rPr>
          <w:rFonts w:hint="eastAsia" w:ascii="CESI黑体-GB2312" w:hAnsi="CESI黑体-GB2312" w:eastAsia="CESI黑体-GB2312" w:cs="CESI黑体-GB2312"/>
          <w:color w:val="404040" w:themeColor="text1" w:themeTint="BF"/>
          <w:sz w:val="30"/>
          <w:szCs w:val="30"/>
          <w:highlight w:val="none"/>
          <w14:textFill>
            <w14:solidFill>
              <w14:schemeClr w14:val="tx1">
                <w14:lumMod w14:val="75000"/>
                <w14:lumOff w14:val="25000"/>
              </w14:schemeClr>
            </w14:solidFill>
          </w14:textFill>
        </w:rPr>
        <w:t>由全体业主共有，</w:t>
      </w:r>
      <w:r>
        <w:rPr>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无需缴纳土地出让</w:t>
      </w:r>
      <w:r>
        <w:rPr>
          <w:rFonts w:hint="eastAsia" w:ascii="CESI黑体-GB2312" w:hAnsi="CESI黑体-GB2312" w:eastAsia="CESI黑体-GB2312" w:cs="CESI黑体-GB2312"/>
          <w:color w:val="404040" w:themeColor="text1" w:themeTint="BF"/>
          <w:sz w:val="30"/>
          <w:szCs w:val="30"/>
          <w:lang w:val="en-US" w:eastAsia="zh-CN" w:bidi="ar"/>
          <w14:textFill>
            <w14:solidFill>
              <w14:schemeClr w14:val="tx1">
                <w14:lumMod w14:val="75000"/>
                <w14:lumOff w14:val="25000"/>
              </w14:schemeClr>
            </w14:solidFill>
          </w14:textFill>
        </w:rPr>
        <w:t>金等费用</w:t>
      </w:r>
      <w:r>
        <w:rPr>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），10%用于原有住宅按套扩面（该部分需要缴纳土地出让</w:t>
      </w:r>
      <w:r>
        <w:rPr>
          <w:rFonts w:hint="eastAsia" w:ascii="CESI黑体-GB2312" w:hAnsi="CESI黑体-GB2312" w:eastAsia="CESI黑体-GB2312" w:cs="CESI黑体-GB2312"/>
          <w:color w:val="404040" w:themeColor="text1" w:themeTint="BF"/>
          <w:sz w:val="30"/>
          <w:szCs w:val="30"/>
          <w:lang w:val="en-US" w:eastAsia="zh-CN" w:bidi="ar"/>
          <w14:textFill>
            <w14:solidFill>
              <w14:schemeClr w14:val="tx1">
                <w14:lumMod w14:val="75000"/>
                <w14:lumOff w14:val="25000"/>
              </w14:schemeClr>
            </w14:solidFill>
          </w14:textFill>
        </w:rPr>
        <w:t>金等费用</w:t>
      </w:r>
      <w:r>
        <w:rPr>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w:t>
      </w:r>
    </w:p>
    <w:p>
      <w:pPr>
        <w:spacing w:before="313" w:beforeLines="100" w:after="313" w:afterLines="100" w:line="560" w:lineRule="exact"/>
        <w:ind w:firstLine="640"/>
        <w:rPr>
          <w:rFonts w:hint="eastAsia" w:ascii="CESI黑体-GB2312" w:hAnsi="CESI黑体-GB2312" w:eastAsia="CESI黑体-GB2312" w:cs="CESI黑体-GB2312"/>
          <w:color w:val="404040" w:themeColor="text1" w:themeTint="BF"/>
          <w:kern w:val="0"/>
          <w:sz w:val="30"/>
          <w:szCs w:val="30"/>
          <w:lang w:bidi="ar"/>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第十九条</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 原址重建项目可结合实际，可对原有部分面积进行处置：</w:t>
      </w:r>
      <w:r>
        <w:rPr>
          <w:rFonts w:hint="eastAsia" w:ascii="CESI黑体-GB2312" w:hAnsi="CESI黑体-GB2312" w:eastAsia="CESI黑体-GB2312" w:cs="CESI黑体-GB2312"/>
          <w:color w:val="404040" w:themeColor="text1" w:themeTint="BF"/>
          <w:kern w:val="0"/>
          <w:sz w:val="30"/>
          <w:szCs w:val="30"/>
          <w:lang w:bidi="ar"/>
          <w14:textFill>
            <w14:solidFill>
              <w14:schemeClr w14:val="tx1">
                <w14:lumMod w14:val="75000"/>
                <w14:lumOff w14:val="25000"/>
              </w14:schemeClr>
            </w14:solidFill>
          </w14:textFill>
        </w:rPr>
        <w:t>原储藏间、车位等计入原不动产登记面积的，项目建设时可不再保留，其建筑面积可等面积置换至户内；未计入原不动产登记且有合法来源的，可纳入改造实施方案统筹考虑。</w:t>
      </w:r>
    </w:p>
    <w:p>
      <w:pPr>
        <w:pStyle w:val="6"/>
        <w:spacing w:before="313" w:beforeLines="100" w:after="313" w:afterLines="100" w:line="560" w:lineRule="exact"/>
        <w:ind w:firstLine="643"/>
        <w:jc w:val="both"/>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第二十条</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 </w:t>
      </w: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原址翻建不增加建筑面积的，房屋改造前为出让类型商品住宅或商服的，在办理变更登记时保留居民原证载使用权类型和土地出让年期。</w:t>
      </w:r>
    </w:p>
    <w:p>
      <w:pPr>
        <w:pStyle w:val="3"/>
        <w:spacing w:before="313" w:beforeLines="100" w:after="313" w:afterLines="100" w:line="560" w:lineRule="exact"/>
        <w:ind w:firstLine="640"/>
        <w:rPr>
          <w:rFonts w:hint="eastAsia" w:ascii="CESI黑体-GB2312" w:hAnsi="CESI黑体-GB2312" w:eastAsia="CESI黑体-GB2312" w:cs="CESI黑体-GB2312"/>
          <w:color w:val="404040" w:themeColor="text1" w:themeTint="BF"/>
          <w:kern w:val="0"/>
          <w:sz w:val="30"/>
          <w:szCs w:val="30"/>
          <w:highlight w:val="yellow"/>
          <w:lang w:eastAsia="zh-CN" w:bidi="ar"/>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原址翻建涉及增加建筑面积的，</w:t>
      </w:r>
      <w:r>
        <w:rPr>
          <w:rFonts w:hint="eastAsia" w:ascii="CESI黑体-GB2312" w:hAnsi="CESI黑体-GB2312" w:eastAsia="CESI黑体-GB2312" w:cs="CESI黑体-GB2312"/>
          <w:color w:val="404040" w:themeColor="text1" w:themeTint="BF"/>
          <w:sz w:val="30"/>
          <w:szCs w:val="30"/>
          <w:shd w:val="clear" w:color="auto" w:fill="FFFFFF"/>
          <w14:textFill>
            <w14:solidFill>
              <w14:schemeClr w14:val="tx1">
                <w14:lumMod w14:val="75000"/>
                <w14:lumOff w14:val="25000"/>
              </w14:schemeClr>
            </w14:solidFill>
          </w14:textFill>
        </w:rPr>
        <w:t>原住户</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在变更登记时，</w:t>
      </w:r>
      <w:r>
        <w:rPr>
          <w:rFonts w:hint="eastAsia" w:ascii="CESI黑体-GB2312" w:hAnsi="CESI黑体-GB2312" w:eastAsia="CESI黑体-GB2312" w:cs="CESI黑体-GB2312"/>
          <w:color w:val="404040" w:themeColor="text1" w:themeTint="BF"/>
          <w:sz w:val="30"/>
          <w:szCs w:val="30"/>
          <w:shd w:val="clear" w:color="auto" w:fill="FFFFFF"/>
          <w14:textFill>
            <w14:solidFill>
              <w14:schemeClr w14:val="tx1">
                <w14:lumMod w14:val="75000"/>
                <w14:lumOff w14:val="25000"/>
              </w14:schemeClr>
            </w14:solidFill>
          </w14:textFill>
        </w:rPr>
        <w:t>可暂不缴纳土地出让金。</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不动产登记时以注记的方式予以明确，</w:t>
      </w:r>
      <w:r>
        <w:rPr>
          <w:rFonts w:hint="eastAsia" w:ascii="CESI黑体-GB2312" w:hAnsi="CESI黑体-GB2312" w:eastAsia="CESI黑体-GB2312" w:cs="CESI黑体-GB2312"/>
          <w:color w:val="404040" w:themeColor="text1" w:themeTint="BF"/>
          <w:sz w:val="30"/>
          <w:szCs w:val="30"/>
          <w:shd w:val="clear" w:color="auto" w:fill="FFFFFF"/>
          <w14:textFill>
            <w14:solidFill>
              <w14:schemeClr w14:val="tx1">
                <w14:lumMod w14:val="75000"/>
                <w14:lumOff w14:val="25000"/>
              </w14:schemeClr>
            </w14:solidFill>
          </w14:textFill>
        </w:rPr>
        <w:t>尚未缴纳土地出让金</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的</w:t>
      </w:r>
      <w:r>
        <w:rPr>
          <w:rFonts w:hint="eastAsia" w:ascii="CESI黑体-GB2312" w:hAnsi="CESI黑体-GB2312" w:eastAsia="CESI黑体-GB2312" w:cs="CESI黑体-GB2312"/>
          <w:color w:val="404040" w:themeColor="text1" w:themeTint="BF"/>
          <w:sz w:val="30"/>
          <w:szCs w:val="30"/>
          <w:shd w:val="clear" w:color="auto" w:fill="FFFFFF"/>
          <w14:textFill>
            <w14:solidFill>
              <w14:schemeClr w14:val="tx1">
                <w14:lumMod w14:val="75000"/>
                <w14:lumOff w14:val="25000"/>
              </w14:schemeClr>
            </w14:solidFill>
          </w14:textFill>
        </w:rPr>
        <w:t>限制交易，补缴出让金后方可上市交易</w:t>
      </w:r>
      <w:r>
        <w:rPr>
          <w:rFonts w:hint="eastAsia" w:ascii="CESI黑体-GB2312" w:hAnsi="CESI黑体-GB2312" w:eastAsia="CESI黑体-GB2312" w:cs="CESI黑体-GB2312"/>
          <w:color w:val="404040" w:themeColor="text1" w:themeTint="BF"/>
          <w:sz w:val="30"/>
          <w:szCs w:val="30"/>
          <w:lang w:eastAsia="zh-CN"/>
          <w14:textFill>
            <w14:solidFill>
              <w14:schemeClr w14:val="tx1">
                <w14:lumMod w14:val="75000"/>
                <w14:lumOff w14:val="25000"/>
              </w14:schemeClr>
            </w14:solidFill>
          </w14:textFill>
        </w:rPr>
        <w:t>。</w:t>
      </w:r>
    </w:p>
    <w:p>
      <w:pPr>
        <w:pStyle w:val="6"/>
        <w:spacing w:before="313" w:beforeLines="100" w:after="313" w:afterLines="100" w:line="560" w:lineRule="exact"/>
        <w:ind w:firstLine="600" w:firstLineChars="200"/>
        <w:jc w:val="both"/>
        <w:rPr>
          <w:rStyle w:val="24"/>
          <w:rFonts w:hint="eastAsia" w:ascii="CESI黑体-GB2312" w:hAnsi="CESI黑体-GB2312" w:eastAsia="CESI黑体-GB2312" w:cs="CESI黑体-GB2312"/>
          <w:color w:val="404040" w:themeColor="text1" w:themeTint="BF"/>
          <w:sz w:val="30"/>
          <w:szCs w:val="30"/>
          <w:lang w:val="en-US" w:eastAsia="zh-CN" w:bidi="ar"/>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第二十</w:t>
      </w: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一</w:t>
      </w:r>
      <w:r>
        <w:rPr>
          <w:rStyle w:val="21"/>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条</w:t>
      </w:r>
      <w:r>
        <w:rPr>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 xml:space="preserve"> </w:t>
      </w:r>
      <w:r>
        <w:rPr>
          <w:rStyle w:val="24"/>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对原建筑设有人防工程的翻建、重建</w:t>
      </w:r>
      <w:r>
        <w:rPr>
          <w:rStyle w:val="24"/>
          <w:rFonts w:hint="eastAsia" w:ascii="CESI黑体-GB2312" w:hAnsi="CESI黑体-GB2312" w:eastAsia="CESI黑体-GB2312" w:cs="CESI黑体-GB2312"/>
          <w:color w:val="404040" w:themeColor="text1" w:themeTint="BF"/>
          <w:sz w:val="30"/>
          <w:szCs w:val="30"/>
          <w:lang w:eastAsia="zh-CN" w:bidi="ar"/>
          <w14:textFill>
            <w14:solidFill>
              <w14:schemeClr w14:val="tx1">
                <w14:lumMod w14:val="75000"/>
                <w14:lumOff w14:val="25000"/>
              </w14:schemeClr>
            </w14:solidFill>
          </w14:textFill>
        </w:rPr>
        <w:t>项目，</w:t>
      </w:r>
      <w:r>
        <w:rPr>
          <w:rStyle w:val="24"/>
          <w:rFonts w:hint="eastAsia" w:ascii="CESI黑体-GB2312" w:hAnsi="CESI黑体-GB2312" w:eastAsia="CESI黑体-GB2312" w:cs="CESI黑体-GB2312"/>
          <w:color w:val="404040" w:themeColor="text1" w:themeTint="BF"/>
          <w:sz w:val="30"/>
          <w:szCs w:val="30"/>
          <w:lang w:val="en-US" w:eastAsia="zh-CN" w:bidi="ar"/>
          <w14:textFill>
            <w14:solidFill>
              <w14:schemeClr w14:val="tx1">
                <w14:lumMod w14:val="75000"/>
                <w14:lumOff w14:val="25000"/>
              </w14:schemeClr>
            </w14:solidFill>
          </w14:textFill>
        </w:rPr>
        <w:t>人防工程确需拆除、报废的，应当经人民防空主管部门批准；经批准拆除的人防工程，拆除单位或者个人应当按照拆除的建筑面积、防护级别和用途，自批准之日起1年内补建；确实无法补建的，拆除单位或者个人应当按照本省人防工程的造价，向人民防空主管部门缴纳防空地下室易地建设费并由其统一补建。</w:t>
      </w:r>
    </w:p>
    <w:p>
      <w:pPr>
        <w:pStyle w:val="6"/>
        <w:spacing w:before="313" w:beforeLines="100" w:after="313" w:afterLines="100" w:line="560" w:lineRule="exact"/>
        <w:ind w:firstLine="600" w:firstLineChars="200"/>
        <w:jc w:val="both"/>
        <w:rPr>
          <w:rStyle w:val="24"/>
          <w:rFonts w:hint="eastAsia" w:ascii="CESI黑体-GB2312" w:hAnsi="CESI黑体-GB2312" w:eastAsia="CESI黑体-GB2312" w:cs="CESI黑体-GB2312"/>
          <w:color w:val="404040" w:themeColor="text1" w:themeTint="BF"/>
          <w:sz w:val="30"/>
          <w:szCs w:val="30"/>
          <w:lang w:val="en-US" w:eastAsia="zh-CN" w:bidi="ar"/>
          <w14:textFill>
            <w14:solidFill>
              <w14:schemeClr w14:val="tx1">
                <w14:lumMod w14:val="75000"/>
                <w14:lumOff w14:val="25000"/>
              </w14:schemeClr>
            </w14:solidFill>
          </w14:textFill>
        </w:rPr>
      </w:pPr>
      <w:r>
        <w:rPr>
          <w:rStyle w:val="24"/>
          <w:rFonts w:hint="eastAsia" w:ascii="CESI黑体-GB2312" w:hAnsi="CESI黑体-GB2312" w:eastAsia="CESI黑体-GB2312" w:cs="CESI黑体-GB2312"/>
          <w:color w:val="404040" w:themeColor="text1" w:themeTint="BF"/>
          <w:sz w:val="30"/>
          <w:szCs w:val="30"/>
          <w:lang w:val="en-US" w:eastAsia="zh-CN" w:bidi="ar"/>
          <w14:textFill>
            <w14:solidFill>
              <w14:schemeClr w14:val="tx1">
                <w14:lumMod w14:val="75000"/>
                <w14:lumOff w14:val="25000"/>
              </w14:schemeClr>
            </w14:solidFill>
          </w14:textFill>
        </w:rPr>
        <w:t>在原建设时期未设置人防工程的，不增加建筑面积的危房翻新改造商品住宅项目和因遭受水灾、火灾或者其他不可抗拒的灾害造成损坏后按原建筑面积修复的民用建筑，且项目建设地点与危房翻新改造商品住宅项目登记地点一致，并具有鉴定结论为危房的房屋安全鉴定报告，经人民防空主管部门批准不修建防空地下室的，予以免收防空地下室易地建设费。</w:t>
      </w:r>
    </w:p>
    <w:p>
      <w:pPr>
        <w:pStyle w:val="6"/>
        <w:spacing w:before="313" w:beforeLines="100" w:after="313" w:afterLines="100" w:line="560" w:lineRule="exact"/>
        <w:ind w:firstLine="600" w:firstLineChars="200"/>
        <w:jc w:val="both"/>
        <w:rPr>
          <w:rStyle w:val="24"/>
          <w:rFonts w:hint="eastAsia" w:ascii="CESI黑体-GB2312" w:hAnsi="CESI黑体-GB2312" w:eastAsia="CESI黑体-GB2312" w:cs="CESI黑体-GB2312"/>
          <w:color w:val="404040" w:themeColor="text1" w:themeTint="BF"/>
          <w:sz w:val="30"/>
          <w:szCs w:val="30"/>
          <w:lang w:val="en-US" w:eastAsia="zh-CN" w:bidi="ar"/>
          <w14:textFill>
            <w14:solidFill>
              <w14:schemeClr w14:val="tx1">
                <w14:lumMod w14:val="75000"/>
                <w14:lumOff w14:val="25000"/>
              </w14:schemeClr>
            </w14:solidFill>
          </w14:textFill>
        </w:rPr>
      </w:pPr>
      <w:r>
        <w:rPr>
          <w:rStyle w:val="24"/>
          <w:rFonts w:hint="eastAsia" w:ascii="CESI黑体-GB2312" w:hAnsi="CESI黑体-GB2312" w:eastAsia="CESI黑体-GB2312" w:cs="CESI黑体-GB2312"/>
          <w:color w:val="404040" w:themeColor="text1" w:themeTint="BF"/>
          <w:sz w:val="30"/>
          <w:szCs w:val="30"/>
          <w:lang w:val="en-US" w:eastAsia="zh-CN" w:bidi="ar"/>
          <w14:textFill>
            <w14:solidFill>
              <w14:schemeClr w14:val="tx1">
                <w14:lumMod w14:val="75000"/>
                <w14:lumOff w14:val="25000"/>
              </w14:schemeClr>
            </w14:solidFill>
          </w14:textFill>
        </w:rPr>
        <w:t>翻新改造后的建筑面积大于原建筑面积的项目，不适用免收优惠政策，应按照整体项目依法履行人防义务。</w:t>
      </w:r>
    </w:p>
    <w:p>
      <w:pPr>
        <w:pStyle w:val="6"/>
        <w:spacing w:before="313" w:beforeLines="100" w:after="313" w:afterLines="100" w:line="560" w:lineRule="exact"/>
        <w:ind w:firstLine="643"/>
        <w:jc w:val="both"/>
        <w:rPr>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第二十</w:t>
      </w: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二</w:t>
      </w:r>
      <w:r>
        <w:rPr>
          <w:rStyle w:val="21"/>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条</w:t>
      </w:r>
      <w:r>
        <w:rPr>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 xml:space="preserve"> </w:t>
      </w:r>
      <w:r>
        <w:rPr>
          <w:rStyle w:val="24"/>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施工图审查机构原则上按照现行住宅设计标准进行审查。若受各种客观历史条件限制，危旧房改造项目满足现行相关设计标准确有困难的，经征求产权单位、居民同意，可在保证安全的前提下按照不低于原建造时标准进行设计、审查。</w:t>
      </w:r>
    </w:p>
    <w:p>
      <w:pPr>
        <w:pStyle w:val="4"/>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第二十三条</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 </w:t>
      </w:r>
      <w:r>
        <w:rPr>
          <w:rStyle w:val="24"/>
          <w:rFonts w:hint="eastAsia" w:ascii="CESI黑体-GB2312" w:hAnsi="CESI黑体-GB2312" w:eastAsia="CESI黑体-GB2312" w:cs="CESI黑体-GB2312"/>
          <w:color w:val="404040" w:themeColor="text1" w:themeTint="BF"/>
          <w:sz w:val="30"/>
          <w:szCs w:val="30"/>
          <w:highlight w:val="none"/>
          <w:u w:val="none"/>
          <w14:textFill>
            <w14:solidFill>
              <w14:schemeClr w14:val="tx1">
                <w14:lumMod w14:val="75000"/>
                <w14:lumOff w14:val="25000"/>
              </w14:schemeClr>
            </w14:solidFill>
          </w14:textFill>
        </w:rPr>
        <w:t>按照"政府支持、产权人出资、社会参与"的原则，建立多元化资金筹集机制。</w:t>
      </w:r>
      <w:r>
        <w:rPr>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支持符合条件的危旧房屋更新改造项目，积极</w:t>
      </w:r>
      <w:r>
        <w:rPr>
          <w:rFonts w:hint="eastAsia" w:ascii="CESI黑体-GB2312" w:hAnsi="CESI黑体-GB2312" w:eastAsia="CESI黑体-GB2312" w:cs="CESI黑体-GB2312"/>
          <w:color w:val="404040" w:themeColor="text1" w:themeTint="BF"/>
          <w:sz w:val="30"/>
          <w:szCs w:val="30"/>
          <w:lang w:val="en-US" w:eastAsia="zh-CN" w:bidi="ar"/>
          <w14:textFill>
            <w14:solidFill>
              <w14:schemeClr w14:val="tx1">
                <w14:lumMod w14:val="75000"/>
                <w14:lumOff w14:val="25000"/>
              </w14:schemeClr>
            </w14:solidFill>
          </w14:textFill>
        </w:rPr>
        <w:t>争取</w:t>
      </w:r>
      <w:r>
        <w:rPr>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各类资金支持。</w:t>
      </w:r>
    </w:p>
    <w:p>
      <w:pPr>
        <w:spacing w:before="313" w:beforeLines="100" w:after="313" w:afterLines="100" w:line="560" w:lineRule="exact"/>
        <w:ind w:firstLine="643" w:firstLineChars="0"/>
        <w:jc w:val="left"/>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第二十四条 </w:t>
      </w:r>
      <w:r>
        <w:rPr>
          <w:rStyle w:val="14"/>
          <w:rFonts w:hint="eastAsia" w:ascii="CESI黑体-GB2312" w:hAnsi="CESI黑体-GB2312" w:eastAsia="CESI黑体-GB2312" w:cs="CESI黑体-GB2312"/>
          <w:color w:val="404040" w:themeColor="text1" w:themeTint="BF"/>
          <w:sz w:val="30"/>
          <w:szCs w:val="30"/>
          <w:lang w:val="en-US" w:eastAsia="zh-CN" w:bidi="ar"/>
          <w14:textFill>
            <w14:solidFill>
              <w14:schemeClr w14:val="tx1">
                <w14:lumMod w14:val="75000"/>
                <w14:lumOff w14:val="25000"/>
              </w14:schemeClr>
            </w14:solidFill>
          </w14:textFill>
        </w:rPr>
        <w:t>按照</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行政事业性收费、政府性基金和相关税收减免政策</w:t>
      </w:r>
      <w:r>
        <w:rPr>
          <w:rFonts w:hint="eastAsia" w:ascii="CESI黑体-GB2312" w:hAnsi="CESI黑体-GB2312" w:eastAsia="CESI黑体-GB2312" w:cs="CESI黑体-GB2312"/>
          <w:color w:val="404040" w:themeColor="text1" w:themeTint="BF"/>
          <w:sz w:val="30"/>
          <w:szCs w:val="30"/>
          <w:lang w:eastAsia="zh-CN"/>
          <w14:textFill>
            <w14:solidFill>
              <w14:schemeClr w14:val="tx1">
                <w14:lumMod w14:val="75000"/>
                <w14:lumOff w14:val="25000"/>
              </w14:schemeClr>
            </w14:solidFill>
          </w14:textFill>
        </w:rPr>
        <w:t>，</w:t>
      </w:r>
      <w:r>
        <w:rPr>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t>对</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符合条件的危旧房改造项目可</w:t>
      </w:r>
      <w:r>
        <w:rPr>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t>予以支持</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。探索建立房地产预售资金绿色通道制度，对危旧房改造项目后期开发涉及的预售资金监管、网签备案等工作提供便利。</w:t>
      </w:r>
    </w:p>
    <w:p>
      <w:pPr>
        <w:spacing w:before="313" w:beforeLines="100" w:after="313" w:afterLines="100" w:line="560" w:lineRule="exact"/>
        <w:ind w:firstLine="640"/>
        <w:jc w:val="left"/>
        <w:rPr>
          <w:rFonts w:hint="eastAsia" w:ascii="CESI黑体-GB2312" w:hAnsi="CESI黑体-GB2312" w:eastAsia="CESI黑体-GB2312" w:cs="CESI黑体-GB2312"/>
          <w:color w:val="404040" w:themeColor="text1" w:themeTint="BF"/>
          <w:kern w:val="0"/>
          <w:sz w:val="30"/>
          <w:szCs w:val="30"/>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第二十五条</w:t>
      </w:r>
      <w:r>
        <w:rPr>
          <w:rFonts w:hint="eastAsia" w:ascii="CESI黑体-GB2312" w:hAnsi="CESI黑体-GB2312" w:eastAsia="CESI黑体-GB2312" w:cs="CESI黑体-GB2312"/>
          <w:color w:val="404040" w:themeColor="text1" w:themeTint="BF"/>
          <w:kern w:val="0"/>
          <w:sz w:val="30"/>
          <w:szCs w:val="30"/>
          <w14:textFill>
            <w14:solidFill>
              <w14:schemeClr w14:val="tx1">
                <w14:lumMod w14:val="75000"/>
                <w14:lumOff w14:val="25000"/>
              </w14:schemeClr>
            </w14:solidFill>
          </w14:textFill>
        </w:rPr>
        <w:t xml:space="preserve"> </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支持房屋所有权人以翻建、</w:t>
      </w: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大修自</w:t>
      </w:r>
      <w:r>
        <w:rPr>
          <w:rStyle w:val="24"/>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t>住</w:t>
      </w: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住房</w:t>
      </w:r>
      <w:r>
        <w:rPr>
          <w:rStyle w:val="24"/>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t>形式</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提取住房公积金或申请住房公积金贷款</w:t>
      </w:r>
      <w:r>
        <w:rPr>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t>等方式筹措资金</w:t>
      </w:r>
      <w:r>
        <w:rPr>
          <w:rFonts w:hint="eastAsia" w:ascii="CESI黑体-GB2312" w:hAnsi="CESI黑体-GB2312" w:eastAsia="CESI黑体-GB2312" w:cs="CESI黑体-GB2312"/>
          <w:color w:val="404040" w:themeColor="text1" w:themeTint="BF"/>
          <w:sz w:val="30"/>
          <w:szCs w:val="30"/>
          <w:lang w:eastAsia="zh-CN"/>
          <w14:textFill>
            <w14:solidFill>
              <w14:schemeClr w14:val="tx1">
                <w14:lumMod w14:val="75000"/>
                <w14:lumOff w14:val="25000"/>
              </w14:schemeClr>
            </w14:solidFill>
          </w14:textFill>
        </w:rPr>
        <w:t>；</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支持房屋所有权人通过提取住宅专项维修资金、单位住房维修资金等方式筹措资金</w:t>
      </w:r>
      <w:r>
        <w:rPr>
          <w:rFonts w:hint="eastAsia" w:ascii="CESI黑体-GB2312" w:hAnsi="CESI黑体-GB2312" w:eastAsia="CESI黑体-GB2312" w:cs="CESI黑体-GB2312"/>
          <w:color w:val="404040" w:themeColor="text1" w:themeTint="BF"/>
          <w:sz w:val="30"/>
          <w:szCs w:val="30"/>
          <w:lang w:eastAsia="zh-CN"/>
          <w14:textFill>
            <w14:solidFill>
              <w14:schemeClr w14:val="tx1">
                <w14:lumMod w14:val="75000"/>
                <w14:lumOff w14:val="25000"/>
              </w14:schemeClr>
            </w14:solidFill>
          </w14:textFill>
        </w:rPr>
        <w:t>；</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支持房屋所有权人与直系亲属合伙出资。</w:t>
      </w:r>
    </w:p>
    <w:p>
      <w:pPr>
        <w:pStyle w:val="6"/>
        <w:spacing w:before="313" w:beforeLines="100" w:after="313" w:afterLines="100" w:line="560" w:lineRule="exact"/>
        <w:ind w:firstLine="643"/>
        <w:jc w:val="both"/>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第二十六条</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 </w:t>
      </w: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鼓励银行等金融机构创新金融产品，在贷款额度、利率定价、担保方式等方面对危旧房改造项目给予差异化政策支持，通过整体授信方式向项目投放长期低息贷款，并设置一定宽限期，缓解项目前期还款压力。</w:t>
      </w:r>
    </w:p>
    <w:p>
      <w:pPr>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第二十七条</w:t>
      </w:r>
      <w:r>
        <w:rPr>
          <w:rFonts w:hint="eastAsia" w:ascii="CESI黑体-GB2312" w:hAnsi="CESI黑体-GB2312" w:eastAsia="CESI黑体-GB2312" w:cs="CESI黑体-GB2312"/>
          <w:color w:val="404040" w:themeColor="text1" w:themeTint="BF"/>
          <w:kern w:val="0"/>
          <w:sz w:val="30"/>
          <w:szCs w:val="30"/>
          <w14:textFill>
            <w14:solidFill>
              <w14:schemeClr w14:val="tx1">
                <w14:lumMod w14:val="75000"/>
                <w14:lumOff w14:val="25000"/>
              </w14:schemeClr>
            </w14:solidFill>
          </w14:textFill>
        </w:rPr>
        <w:t xml:space="preserve"> </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支持各辖区政府积极发挥国有</w:t>
      </w:r>
      <w:r>
        <w:rPr>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t>企业</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作用，按照“借、用、营、还”一体化运作模式，策划项目、争取资金、推进建设、运营管理。</w:t>
      </w:r>
    </w:p>
    <w:p>
      <w:pPr>
        <w:pStyle w:val="6"/>
        <w:spacing w:before="313" w:beforeLines="100" w:after="313" w:afterLines="100" w:line="560" w:lineRule="exact"/>
        <w:ind w:firstLine="640"/>
        <w:jc w:val="left"/>
        <w:rPr>
          <w:rStyle w:val="24"/>
          <w:rFonts w:hint="eastAsia" w:ascii="CESI黑体-GB2312" w:hAnsi="CESI黑体-GB2312" w:eastAsia="CESI黑体-GB2312" w:cs="CESI黑体-GB2312"/>
          <w:color w:val="404040" w:themeColor="text1" w:themeTint="BF"/>
          <w:sz w:val="30"/>
          <w:szCs w:val="30"/>
          <w:u w:val="single"/>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kern w:val="44"/>
          <w:sz w:val="30"/>
          <w:szCs w:val="30"/>
          <w14:textFill>
            <w14:solidFill>
              <w14:schemeClr w14:val="tx1">
                <w14:lumMod w14:val="75000"/>
                <w14:lumOff w14:val="25000"/>
              </w14:schemeClr>
            </w14:solidFill>
          </w14:textFill>
        </w:rPr>
        <w:t>第二十八条</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 </w:t>
      </w: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居民原危旧房拆除后、新建房未竣工交付前，符合条件的存在阶段性住房困难的群众，可以纳入保障性住房保障</w:t>
      </w:r>
      <w:r>
        <w:rPr>
          <w:rStyle w:val="24"/>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t>范围</w:t>
      </w: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，提供过渡性住房保障。</w:t>
      </w:r>
    </w:p>
    <w:p>
      <w:pPr>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第</w:t>
      </w:r>
      <w:r>
        <w:rPr>
          <w:rStyle w:val="21"/>
          <w:rFonts w:hint="eastAsia" w:ascii="CESI黑体-GB2312" w:hAnsi="CESI黑体-GB2312" w:eastAsia="CESI黑体-GB2312" w:cs="CESI黑体-GB2312"/>
          <w:color w:val="404040" w:themeColor="text1" w:themeTint="BF"/>
          <w:kern w:val="44"/>
          <w:sz w:val="30"/>
          <w:szCs w:val="30"/>
          <w14:textFill>
            <w14:solidFill>
              <w14:schemeClr w14:val="tx1">
                <w14:lumMod w14:val="75000"/>
                <w14:lumOff w14:val="25000"/>
              </w14:schemeClr>
            </w14:solidFill>
          </w14:textFill>
        </w:rPr>
        <w:t>二十九</w:t>
      </w: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条</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 鼓励市场化住房租赁企业、房地产经纪机构整合城市危旧房改造项目周边租赁住房资源，及时向危旧房改造对象提供住房租赁和经纪服务。</w:t>
      </w:r>
    </w:p>
    <w:p>
      <w:pPr>
        <w:pStyle w:val="4"/>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pPr>
      <w:r>
        <w:rPr>
          <w:rStyle w:val="21"/>
          <w:rFonts w:hint="eastAsia" w:ascii="CESI黑体-GB2312" w:hAnsi="CESI黑体-GB2312" w:eastAsia="CESI黑体-GB2312" w:cs="CESI黑体-GB2312"/>
          <w:bCs/>
          <w:color w:val="404040" w:themeColor="text1" w:themeTint="BF"/>
          <w:sz w:val="30"/>
          <w:szCs w:val="30"/>
          <w14:textFill>
            <w14:solidFill>
              <w14:schemeClr w14:val="tx1">
                <w14:lumMod w14:val="75000"/>
                <w14:lumOff w14:val="25000"/>
              </w14:schemeClr>
            </w14:solidFill>
          </w14:textFill>
        </w:rPr>
        <w:t>第</w:t>
      </w: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三十</w:t>
      </w:r>
      <w:r>
        <w:rPr>
          <w:rStyle w:val="21"/>
          <w:rFonts w:hint="eastAsia" w:ascii="CESI黑体-GB2312" w:hAnsi="CESI黑体-GB2312" w:eastAsia="CESI黑体-GB2312" w:cs="CESI黑体-GB2312"/>
          <w:bCs/>
          <w:color w:val="404040" w:themeColor="text1" w:themeTint="BF"/>
          <w:sz w:val="30"/>
          <w:szCs w:val="30"/>
          <w14:textFill>
            <w14:solidFill>
              <w14:schemeClr w14:val="tx1">
                <w14:lumMod w14:val="75000"/>
                <w14:lumOff w14:val="25000"/>
              </w14:schemeClr>
            </w14:solidFill>
          </w14:textFill>
        </w:rPr>
        <w:t>条</w:t>
      </w:r>
      <w:r>
        <w:rPr>
          <w:rFonts w:hint="eastAsia" w:ascii="CESI黑体-GB2312" w:hAnsi="CESI黑体-GB2312" w:eastAsia="CESI黑体-GB2312" w:cs="CESI黑体-GB2312"/>
          <w:bCs/>
          <w:color w:val="404040" w:themeColor="text1" w:themeTint="BF"/>
          <w:sz w:val="30"/>
          <w:szCs w:val="30"/>
          <w14:textFill>
            <w14:solidFill>
              <w14:schemeClr w14:val="tx1">
                <w14:lumMod w14:val="75000"/>
                <w14:lumOff w14:val="25000"/>
              </w14:schemeClr>
            </w14:solidFill>
          </w14:textFill>
        </w:rPr>
        <w:t xml:space="preserve">  </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危旧房改造项目建设期间延续</w:t>
      </w:r>
      <w:r>
        <w:rPr>
          <w:rFonts w:hint="eastAsia" w:ascii="CESI黑体-GB2312" w:hAnsi="CESI黑体-GB2312" w:eastAsia="CESI黑体-GB2312" w:cs="CESI黑体-GB2312"/>
          <w:color w:val="404040" w:themeColor="text1" w:themeTint="BF"/>
          <w:sz w:val="30"/>
          <w:szCs w:val="30"/>
          <w:lang w:eastAsia="zh-CN"/>
          <w14:textFill>
            <w14:solidFill>
              <w14:schemeClr w14:val="tx1">
                <w14:lumMod w14:val="75000"/>
                <w14:lumOff w14:val="25000"/>
              </w14:schemeClr>
            </w14:solidFill>
          </w14:textFill>
        </w:rPr>
        <w:t>所有权人</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原房屋所在学区政策</w:t>
      </w:r>
      <w:r>
        <w:rPr>
          <w:rFonts w:hint="eastAsia" w:ascii="CESI黑体-GB2312" w:hAnsi="CESI黑体-GB2312" w:eastAsia="CESI黑体-GB2312" w:cs="CESI黑体-GB2312"/>
          <w:color w:val="404040" w:themeColor="text1" w:themeTint="BF"/>
          <w:sz w:val="30"/>
          <w:szCs w:val="30"/>
          <w:lang w:eastAsia="zh-CN"/>
          <w14:textFill>
            <w14:solidFill>
              <w14:schemeClr w14:val="tx1">
                <w14:lumMod w14:val="75000"/>
                <w14:lumOff w14:val="25000"/>
              </w14:schemeClr>
            </w14:solidFill>
          </w14:textFill>
        </w:rPr>
        <w:t>。</w:t>
      </w:r>
      <w:r>
        <w:rPr>
          <w:rFonts w:hint="eastAsia" w:ascii="CESI黑体-GB2312" w:hAnsi="CESI黑体-GB2312" w:eastAsia="CESI黑体-GB2312" w:cs="CESI黑体-GB2312"/>
          <w:color w:val="404040" w:themeColor="text1" w:themeTint="BF"/>
          <w:sz w:val="30"/>
          <w:szCs w:val="30"/>
          <w:lang w:val="en-US" w:eastAsia="zh-CN"/>
          <w14:textFill>
            <w14:solidFill>
              <w14:schemeClr w14:val="tx1">
                <w14:lumMod w14:val="75000"/>
                <w14:lumOff w14:val="25000"/>
              </w14:schemeClr>
            </w14:solidFill>
          </w14:textFill>
        </w:rPr>
        <w:t>异地置换的，以新置换的房屋确定学区政策。</w:t>
      </w:r>
      <w:r>
        <w:rPr>
          <w:rFonts w:hint="eastAsia" w:ascii="CESI黑体-GB2312" w:hAnsi="CESI黑体-GB2312" w:eastAsia="CESI黑体-GB2312" w:cs="CESI黑体-GB2312"/>
          <w:color w:val="404040" w:themeColor="text1" w:themeTint="BF"/>
          <w:sz w:val="30"/>
          <w:szCs w:val="30"/>
          <w:lang w:eastAsia="zh-CN"/>
          <w14:textFill>
            <w14:solidFill>
              <w14:schemeClr w14:val="tx1">
                <w14:lumMod w14:val="75000"/>
                <w14:lumOff w14:val="25000"/>
              </w14:schemeClr>
            </w14:solidFill>
          </w14:textFill>
        </w:rPr>
        <w:t>涉及增加户数的项目，根据实际情况，进行全市统筹安排。</w:t>
      </w:r>
    </w:p>
    <w:p>
      <w:pPr>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p>
    <w:p>
      <w:pPr>
        <w:pStyle w:val="4"/>
        <w:spacing w:before="313" w:beforeLines="100" w:after="313" w:afterLines="100" w:line="560" w:lineRule="exact"/>
        <w:ind w:firstLine="640"/>
        <w:jc w:val="cente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第四章 监督管理</w:t>
      </w:r>
    </w:p>
    <w:p>
      <w:pPr>
        <w:pStyle w:val="4"/>
        <w:spacing w:before="313" w:beforeLines="100" w:after="313" w:afterLines="100" w:line="560" w:lineRule="exact"/>
        <w:ind w:firstLine="640"/>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第三十一条</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 </w:t>
      </w:r>
      <w:r>
        <w:rPr>
          <w:rFonts w:hint="eastAsia" w:ascii="CESI黑体-GB2312" w:hAnsi="CESI黑体-GB2312" w:eastAsia="CESI黑体-GB2312" w:cs="CESI黑体-GB2312"/>
          <w:color w:val="404040" w:themeColor="text1" w:themeTint="BF"/>
          <w:kern w:val="2"/>
          <w:sz w:val="30"/>
          <w:szCs w:val="30"/>
          <w14:textFill>
            <w14:solidFill>
              <w14:schemeClr w14:val="tx1">
                <w14:lumMod w14:val="75000"/>
                <w14:lumOff w14:val="25000"/>
              </w14:schemeClr>
            </w14:solidFill>
          </w14:textFill>
        </w:rPr>
        <w:t>市住建、资源规划、发改、财政、金融、教育</w:t>
      </w:r>
      <w:r>
        <w:rPr>
          <w:rFonts w:hint="eastAsia" w:ascii="CESI黑体-GB2312" w:hAnsi="CESI黑体-GB2312" w:eastAsia="CESI黑体-GB2312" w:cs="CESI黑体-GB2312"/>
          <w:color w:val="404040" w:themeColor="text1" w:themeTint="BF"/>
          <w:kern w:val="2"/>
          <w:sz w:val="30"/>
          <w:szCs w:val="30"/>
          <w:lang w:val="en-US" w:eastAsia="zh-CN"/>
          <w14:textFill>
            <w14:solidFill>
              <w14:schemeClr w14:val="tx1">
                <w14:lumMod w14:val="75000"/>
                <w14:lumOff w14:val="25000"/>
              </w14:schemeClr>
            </w14:solidFill>
          </w14:textFill>
        </w:rPr>
        <w:t>税务</w:t>
      </w:r>
      <w:r>
        <w:rPr>
          <w:rFonts w:hint="eastAsia" w:ascii="CESI黑体-GB2312" w:hAnsi="CESI黑体-GB2312" w:eastAsia="CESI黑体-GB2312" w:cs="CESI黑体-GB2312"/>
          <w:color w:val="404040" w:themeColor="text1" w:themeTint="BF"/>
          <w:kern w:val="2"/>
          <w:sz w:val="30"/>
          <w:szCs w:val="30"/>
          <w14:textFill>
            <w14:solidFill>
              <w14:schemeClr w14:val="tx1">
                <w14:lumMod w14:val="75000"/>
                <w14:lumOff w14:val="25000"/>
              </w14:schemeClr>
            </w14:solidFill>
          </w14:textFill>
        </w:rPr>
        <w:t>等部门要各司其职、密切配合，聚焦难点、痛点、堵点，完善制定具有可操作性的配套措施、工作指引、技术标准</w:t>
      </w:r>
      <w:r>
        <w:rPr>
          <w:rFonts w:hint="eastAsia" w:ascii="CESI黑体-GB2312" w:hAnsi="CESI黑体-GB2312" w:eastAsia="CESI黑体-GB2312" w:cs="CESI黑体-GB2312"/>
          <w:color w:val="404040" w:themeColor="text1" w:themeTint="BF"/>
          <w:kern w:val="2"/>
          <w:sz w:val="30"/>
          <w:szCs w:val="30"/>
          <w:lang w:eastAsia="zh-CN"/>
          <w14:textFill>
            <w14:solidFill>
              <w14:schemeClr w14:val="tx1">
                <w14:lumMod w14:val="75000"/>
                <w14:lumOff w14:val="25000"/>
              </w14:schemeClr>
            </w14:solidFill>
          </w14:textFill>
        </w:rPr>
        <w:t>等</w:t>
      </w:r>
      <w:r>
        <w:rPr>
          <w:rFonts w:hint="eastAsia" w:ascii="CESI黑体-GB2312" w:hAnsi="CESI黑体-GB2312" w:eastAsia="CESI黑体-GB2312" w:cs="CESI黑体-GB2312"/>
          <w:color w:val="404040" w:themeColor="text1" w:themeTint="BF"/>
          <w:kern w:val="2"/>
          <w:sz w:val="30"/>
          <w:szCs w:val="30"/>
          <w14:textFill>
            <w14:solidFill>
              <w14:schemeClr w14:val="tx1">
                <w14:lumMod w14:val="75000"/>
                <w14:lumOff w14:val="25000"/>
              </w14:schemeClr>
            </w14:solidFill>
          </w14:textFill>
        </w:rPr>
        <w:t>，并根据实际工作需要修订完善，统筹指导危旧房改造项目实施。</w:t>
      </w:r>
    </w:p>
    <w:p>
      <w:pPr>
        <w:pStyle w:val="4"/>
        <w:spacing w:before="313" w:beforeLines="100" w:after="313" w:afterLines="100" w:line="560" w:lineRule="exact"/>
        <w:ind w:firstLine="640"/>
        <w:rPr>
          <w:rStyle w:val="26"/>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第三十二条</w:t>
      </w:r>
      <w:r>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 xml:space="preserve"> </w:t>
      </w:r>
      <w:r>
        <w:rPr>
          <w:rStyle w:val="24"/>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各辖区人民政府要履行危旧房改造主体责任，积极推动危旧房改造工作，落实危旧房屋改造的全过程监管职责，加强日常巡查工作，依法拆除存在重大安全隐患的违法危旧房屋，制止改造过程中违法建设行为，确保公共安全。</w:t>
      </w:r>
    </w:p>
    <w:p>
      <w:pPr>
        <w:spacing w:before="313" w:beforeLines="100" w:after="313" w:afterLines="100" w:line="560" w:lineRule="exact"/>
        <w:ind w:firstLine="640"/>
        <w:rPr>
          <w:rFonts w:hint="eastAsia" w:ascii="CESI黑体-GB2312" w:hAnsi="CESI黑体-GB2312" w:eastAsia="CESI黑体-GB2312" w:cs="CESI黑体-GB2312"/>
          <w:color w:val="404040" w:themeColor="text1" w:themeTint="BF"/>
          <w:kern w:val="0"/>
          <w:sz w:val="30"/>
          <w:szCs w:val="30"/>
          <w:lang w:bidi="ar"/>
          <w14:textFill>
            <w14:solidFill>
              <w14:schemeClr w14:val="tx1">
                <w14:lumMod w14:val="75000"/>
                <w14:lumOff w14:val="25000"/>
              </w14:schemeClr>
            </w14:solidFill>
          </w14:textFill>
        </w:rPr>
      </w:pPr>
    </w:p>
    <w:p>
      <w:pPr>
        <w:pStyle w:val="4"/>
        <w:spacing w:before="313" w:beforeLines="100" w:after="313" w:afterLines="100" w:line="560" w:lineRule="exact"/>
        <w:ind w:firstLine="640"/>
        <w:jc w:val="center"/>
        <w:rPr>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pPr>
      <w:r>
        <w:rPr>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第五章 附则</w:t>
      </w:r>
    </w:p>
    <w:p>
      <w:pPr>
        <w:pStyle w:val="6"/>
        <w:spacing w:before="313" w:beforeLines="100" w:after="313" w:afterLines="100" w:line="560" w:lineRule="exact"/>
        <w:ind w:firstLine="643"/>
        <w:jc w:val="both"/>
        <w:rPr>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第三十</w:t>
      </w:r>
      <w:r>
        <w:rPr>
          <w:rStyle w:val="21"/>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t>三</w:t>
      </w:r>
      <w:r>
        <w:rPr>
          <w:rStyle w:val="21"/>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条</w:t>
      </w:r>
      <w:r>
        <w:rPr>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 xml:space="preserve"> </w:t>
      </w:r>
      <w:r>
        <w:rPr>
          <w:rStyle w:val="24"/>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各县（市）政府、平原示范区</w:t>
      </w:r>
      <w:r>
        <w:rPr>
          <w:rStyle w:val="24"/>
          <w:rFonts w:hint="eastAsia" w:ascii="CESI黑体-GB2312" w:hAnsi="CESI黑体-GB2312" w:eastAsia="CESI黑体-GB2312" w:cs="CESI黑体-GB2312"/>
          <w:color w:val="404040" w:themeColor="text1" w:themeTint="BF"/>
          <w:sz w:val="30"/>
          <w:szCs w:val="30"/>
          <w:lang w:eastAsia="zh-CN" w:bidi="ar"/>
          <w14:textFill>
            <w14:solidFill>
              <w14:schemeClr w14:val="tx1">
                <w14:lumMod w14:val="75000"/>
                <w14:lumOff w14:val="25000"/>
              </w14:schemeClr>
            </w14:solidFill>
          </w14:textFill>
        </w:rPr>
        <w:t>可参照执行</w:t>
      </w:r>
      <w:r>
        <w:rPr>
          <w:rStyle w:val="24"/>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w:t>
      </w:r>
      <w:r>
        <w:rPr>
          <w:rStyle w:val="24"/>
          <w:rFonts w:hint="eastAsia" w:ascii="CESI黑体-GB2312" w:hAnsi="CESI黑体-GB2312" w:eastAsia="CESI黑体-GB2312" w:cs="CESI黑体-GB2312"/>
          <w:color w:val="404040" w:themeColor="text1" w:themeTint="BF"/>
          <w:sz w:val="30"/>
          <w:szCs w:val="30"/>
          <w:lang w:eastAsia="zh-CN" w:bidi="ar"/>
          <w14:textFill>
            <w14:solidFill>
              <w14:schemeClr w14:val="tx1">
                <w14:lumMod w14:val="75000"/>
                <w14:lumOff w14:val="25000"/>
              </w14:schemeClr>
            </w14:solidFill>
          </w14:textFill>
        </w:rPr>
        <w:t>也可</w:t>
      </w:r>
      <w:r>
        <w:rPr>
          <w:rStyle w:val="24"/>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结合实际</w:t>
      </w:r>
      <w:r>
        <w:rPr>
          <w:rStyle w:val="24"/>
          <w:rFonts w:hint="eastAsia" w:ascii="CESI黑体-GB2312" w:hAnsi="CESI黑体-GB2312" w:eastAsia="CESI黑体-GB2312" w:cs="CESI黑体-GB2312"/>
          <w:color w:val="404040" w:themeColor="text1" w:themeTint="BF"/>
          <w:sz w:val="30"/>
          <w:szCs w:val="30"/>
          <w:lang w:eastAsia="zh-CN" w:bidi="ar"/>
          <w14:textFill>
            <w14:solidFill>
              <w14:schemeClr w14:val="tx1">
                <w14:lumMod w14:val="75000"/>
                <w14:lumOff w14:val="25000"/>
              </w14:schemeClr>
            </w14:solidFill>
          </w14:textFill>
        </w:rPr>
        <w:t>另行</w:t>
      </w:r>
      <w:r>
        <w:rPr>
          <w:rStyle w:val="24"/>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制定</w:t>
      </w:r>
      <w:r>
        <w:rPr>
          <w:rStyle w:val="24"/>
          <w:rFonts w:hint="eastAsia" w:ascii="CESI黑体-GB2312" w:hAnsi="CESI黑体-GB2312" w:eastAsia="CESI黑体-GB2312" w:cs="CESI黑体-GB2312"/>
          <w:color w:val="404040" w:themeColor="text1" w:themeTint="BF"/>
          <w:sz w:val="30"/>
          <w:szCs w:val="30"/>
          <w:lang w:val="en-US" w:eastAsia="zh-CN" w:bidi="ar"/>
          <w14:textFill>
            <w14:solidFill>
              <w14:schemeClr w14:val="tx1">
                <w14:lumMod w14:val="75000"/>
                <w14:lumOff w14:val="25000"/>
              </w14:schemeClr>
            </w14:solidFill>
          </w14:textFill>
        </w:rPr>
        <w:t>相关政策</w:t>
      </w:r>
      <w:r>
        <w:rPr>
          <w:rStyle w:val="24"/>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w:t>
      </w:r>
    </w:p>
    <w:p>
      <w:pPr>
        <w:pStyle w:val="6"/>
        <w:spacing w:before="313" w:beforeLines="100" w:after="313" w:afterLines="100" w:line="560" w:lineRule="exact"/>
        <w:ind w:firstLine="643"/>
        <w:jc w:val="both"/>
        <w:rPr>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pPr>
      <w:r>
        <w:rPr>
          <w:rStyle w:val="21"/>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第三十四条</w:t>
      </w:r>
      <w:r>
        <w:rPr>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 xml:space="preserve">  </w:t>
      </w:r>
      <w:r>
        <w:rPr>
          <w:rStyle w:val="24"/>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本办法自印发之日起施行，有效期2年，由市住建局和市资源规划局负责解释。本意见实施过程中，如</w:t>
      </w:r>
      <w:r>
        <w:rPr>
          <w:rStyle w:val="24"/>
          <w:rFonts w:hint="eastAsia" w:ascii="CESI黑体-GB2312" w:hAnsi="CESI黑体-GB2312" w:eastAsia="CESI黑体-GB2312" w:cs="CESI黑体-GB2312"/>
          <w:color w:val="404040" w:themeColor="text1" w:themeTint="BF"/>
          <w:sz w:val="30"/>
          <w:szCs w:val="30"/>
          <w:lang w:eastAsia="zh-CN" w:bidi="ar"/>
          <w14:textFill>
            <w14:solidFill>
              <w14:schemeClr w14:val="tx1">
                <w14:lumMod w14:val="75000"/>
                <w14:lumOff w14:val="25000"/>
              </w14:schemeClr>
            </w14:solidFill>
          </w14:textFill>
        </w:rPr>
        <w:t>上级</w:t>
      </w:r>
      <w:r>
        <w:rPr>
          <w:rStyle w:val="24"/>
          <w:rFonts w:hint="eastAsia" w:ascii="CESI黑体-GB2312" w:hAnsi="CESI黑体-GB2312" w:eastAsia="CESI黑体-GB2312" w:cs="CESI黑体-GB2312"/>
          <w:color w:val="404040" w:themeColor="text1" w:themeTint="BF"/>
          <w:sz w:val="30"/>
          <w:szCs w:val="30"/>
          <w:lang w:bidi="ar"/>
          <w14:textFill>
            <w14:solidFill>
              <w14:schemeClr w14:val="tx1">
                <w14:lumMod w14:val="75000"/>
                <w14:lumOff w14:val="25000"/>
              </w14:schemeClr>
            </w14:solidFill>
          </w14:textFill>
        </w:rPr>
        <w:t>相关政策调整，按照上级规定执行。</w:t>
      </w:r>
    </w:p>
    <w:p>
      <w:pPr>
        <w:pStyle w:val="11"/>
        <w:widowControl w:val="0"/>
        <w:spacing w:before="313" w:beforeLines="100" w:beforeAutospacing="0" w:after="313" w:afterLines="100" w:afterAutospacing="0" w:line="560" w:lineRule="exact"/>
        <w:ind w:firstLine="0" w:firstLineChars="0"/>
        <w:jc w:val="both"/>
        <w:textAlignment w:val="baseline"/>
        <w:rPr>
          <w:rFonts w:hint="eastAsia" w:ascii="CESI黑体-GB2312" w:hAnsi="CESI黑体-GB2312" w:eastAsia="CESI黑体-GB2312" w:cs="CESI黑体-GB2312"/>
          <w:color w:val="404040" w:themeColor="text1" w:themeTint="BF"/>
          <w:sz w:val="30"/>
          <w:szCs w:val="30"/>
          <w14:textFill>
            <w14:solidFill>
              <w14:schemeClr w14:val="tx1">
                <w14:lumMod w14:val="75000"/>
                <w14:lumOff w14:val="25000"/>
              </w14:schemeClr>
            </w14:solidFill>
          </w14:textFill>
        </w:rPr>
      </w:pPr>
    </w:p>
    <w:sectPr>
      <w:headerReference r:id="rId7" w:type="first"/>
      <w:footerReference r:id="rId10" w:type="first"/>
      <w:headerReference r:id="rId5" w:type="default"/>
      <w:footerReference r:id="rId8" w:type="default"/>
      <w:headerReference r:id="rId6" w:type="even"/>
      <w:footerReference r:id="rId9" w:type="even"/>
      <w:pgSz w:w="11906" w:h="16838"/>
      <w:pgMar w:top="2154" w:right="1474" w:bottom="2041" w:left="158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auto"/>
    <w:pitch w:val="default"/>
    <w:sig w:usb0="00000000" w:usb1="00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华文中宋">
    <w:altName w:val="汉仪中宋简"/>
    <w:panose1 w:val="02010600040101010101"/>
    <w:charset w:val="86"/>
    <w:family w:val="auto"/>
    <w:pitch w:val="default"/>
    <w:sig w:usb0="00000000" w:usb1="00000000" w:usb2="00000000" w:usb3="00000000" w:csb0="0004009F" w:csb1="DFD70000"/>
  </w:font>
  <w:font w:name="Cambria">
    <w:altName w:val="FreeSerif"/>
    <w:panose1 w:val="02040503050406030204"/>
    <w:charset w:val="00"/>
    <w:family w:val="roman"/>
    <w:pitch w:val="default"/>
    <w:sig w:usb0="00000000" w:usb1="00000000" w:usb2="02000000" w:usb3="00000000" w:csb0="2000019F" w:csb1="00000000"/>
  </w:font>
  <w:font w:name="Nimbus Roman">
    <w:panose1 w:val="00000500000000000000"/>
    <w:charset w:val="00"/>
    <w:family w:val="auto"/>
    <w:pitch w:val="default"/>
    <w:sig w:usb0="00000287" w:usb1="00000800" w:usb2="00000000" w:usb3="00000000" w:csb0="6000009F" w:csb1="00000000"/>
  </w:font>
  <w:font w:name="方正楷体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CESI黑体-GB2312">
    <w:panose1 w:val="02000500000000000000"/>
    <w:charset w:val="86"/>
    <w:family w:val="auto"/>
    <w:pitch w:val="default"/>
    <w:sig w:usb0="800002BF" w:usb1="184F6CF8" w:usb2="00000012" w:usb3="00000000" w:csb0="0004000F" w:csb1="00000000"/>
  </w:font>
  <w:font w:name="Arial">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9"/>
                            <w:ind w:firstLine="560"/>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1</w:t>
                          </w:r>
                          <w:r>
                            <w:rPr>
                              <w:rFonts w:ascii="Times New Roman" w:hAnsi="Times New Roman" w:cs="Times New Roman"/>
                              <w:sz w:val="28"/>
                              <w:szCs w:val="28"/>
                            </w:rPr>
                            <w:fldChar w:fldCharType="end"/>
                          </w:r>
                          <w:r>
                            <w:rPr>
                              <w:rFonts w:ascii="Times New Roman" w:hAnsi="Times New Roman" w:cs="Times New Roman"/>
                              <w:sz w:val="28"/>
                              <w:szCs w:val="28"/>
                            </w:rPr>
                            <w:t xml:space="preserve"> —</w:t>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BYAAABkcnMvUEsBAhQA&#10;FAAAAAgAh07iQLl1uVLQAAAABQEAAA8AAAAAAAAAAQAgAAAAOAAAAGRycy9kb3ducmV2LnhtbFBL&#10;AQIUABQAAAAIAIdO4kAp2sfvrwEAAEQDAAAOAAAAAAAAAAEAIAAAADUBAABkcnMvZTJvRG9jLnht&#10;bFBLBQYAAAAABgAGAFkBAABWBQAAAAA=&#10;">
              <v:fill on="f" focussize="0,0"/>
              <v:stroke on="f"/>
              <v:imagedata o:title=""/>
              <o:lock v:ext="edit" aspectratio="f"/>
              <v:textbox inset="0mm,0mm,0mm,0mm" style="mso-fit-shape-to-text:t;">
                <w:txbxContent>
                  <w:p>
                    <w:pPr>
                      <w:pStyle w:val="9"/>
                      <w:ind w:firstLine="560"/>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1</w:t>
                    </w:r>
                    <w:r>
                      <w:rPr>
                        <w:rFonts w:ascii="Times New Roman" w:hAnsi="Times New Roman" w:cs="Times New Roman"/>
                        <w:sz w:val="28"/>
                        <w:szCs w:val="28"/>
                      </w:rPr>
                      <w:fldChar w:fldCharType="end"/>
                    </w:r>
                    <w:r>
                      <w:rPr>
                        <w:rFonts w:ascii="Times New Roman" w:hAnsi="Times New Roman" w:cs="Times New Roman"/>
                        <w:sz w:val="28"/>
                        <w:szCs w:val="28"/>
                      </w:rPr>
                      <w:t xml:space="preserve"> —</w:t>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trackRevisions w:val="true"/>
  <w:documentProtection w:enforcement="0"/>
  <w:defaultTabStop w:val="420"/>
  <w:drawingGridVerticalSpacing w:val="156"/>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lNmQyY2YwOWM4OWQ1ZTc4NTg5M2E3YjU5NmE0Y2QifQ=="/>
  </w:docVars>
  <w:rsids>
    <w:rsidRoot w:val="001B5C03"/>
    <w:rsid w:val="00014E09"/>
    <w:rsid w:val="00024FBD"/>
    <w:rsid w:val="00037005"/>
    <w:rsid w:val="0003722C"/>
    <w:rsid w:val="00041B53"/>
    <w:rsid w:val="00077ADE"/>
    <w:rsid w:val="000970A4"/>
    <w:rsid w:val="00107FC0"/>
    <w:rsid w:val="00125C16"/>
    <w:rsid w:val="0018319B"/>
    <w:rsid w:val="001B2E55"/>
    <w:rsid w:val="001B5C03"/>
    <w:rsid w:val="00205012"/>
    <w:rsid w:val="00206765"/>
    <w:rsid w:val="002200FD"/>
    <w:rsid w:val="00251188"/>
    <w:rsid w:val="002962BE"/>
    <w:rsid w:val="002A0627"/>
    <w:rsid w:val="00341099"/>
    <w:rsid w:val="00365AA2"/>
    <w:rsid w:val="003C6728"/>
    <w:rsid w:val="003D0D97"/>
    <w:rsid w:val="004019F9"/>
    <w:rsid w:val="00436107"/>
    <w:rsid w:val="004E762E"/>
    <w:rsid w:val="00524B10"/>
    <w:rsid w:val="00556033"/>
    <w:rsid w:val="00560821"/>
    <w:rsid w:val="00561A8B"/>
    <w:rsid w:val="00561F5C"/>
    <w:rsid w:val="00576DDE"/>
    <w:rsid w:val="005772EA"/>
    <w:rsid w:val="005B7427"/>
    <w:rsid w:val="005F78C6"/>
    <w:rsid w:val="0060070B"/>
    <w:rsid w:val="0060420D"/>
    <w:rsid w:val="00625AD7"/>
    <w:rsid w:val="00627386"/>
    <w:rsid w:val="006544D2"/>
    <w:rsid w:val="00663293"/>
    <w:rsid w:val="006673FD"/>
    <w:rsid w:val="00675594"/>
    <w:rsid w:val="0068073A"/>
    <w:rsid w:val="006F0440"/>
    <w:rsid w:val="00705C61"/>
    <w:rsid w:val="007124F1"/>
    <w:rsid w:val="007317C7"/>
    <w:rsid w:val="00733787"/>
    <w:rsid w:val="00752421"/>
    <w:rsid w:val="0077593A"/>
    <w:rsid w:val="007A5415"/>
    <w:rsid w:val="007B2335"/>
    <w:rsid w:val="007E5506"/>
    <w:rsid w:val="007F5442"/>
    <w:rsid w:val="00812E17"/>
    <w:rsid w:val="0088135E"/>
    <w:rsid w:val="008C3004"/>
    <w:rsid w:val="00913BB6"/>
    <w:rsid w:val="009618C6"/>
    <w:rsid w:val="00967DE3"/>
    <w:rsid w:val="009B294F"/>
    <w:rsid w:val="00A14841"/>
    <w:rsid w:val="00A25330"/>
    <w:rsid w:val="00A41ADF"/>
    <w:rsid w:val="00A603C7"/>
    <w:rsid w:val="00AA7777"/>
    <w:rsid w:val="00AE1F29"/>
    <w:rsid w:val="00BD578C"/>
    <w:rsid w:val="00C03F48"/>
    <w:rsid w:val="00C34CCE"/>
    <w:rsid w:val="00C3532B"/>
    <w:rsid w:val="00C703E4"/>
    <w:rsid w:val="00D03F73"/>
    <w:rsid w:val="00D215FB"/>
    <w:rsid w:val="00D32034"/>
    <w:rsid w:val="00D65985"/>
    <w:rsid w:val="00DC3B3C"/>
    <w:rsid w:val="00DE38C8"/>
    <w:rsid w:val="00E15C16"/>
    <w:rsid w:val="00E27B64"/>
    <w:rsid w:val="00E402FF"/>
    <w:rsid w:val="00E86AA9"/>
    <w:rsid w:val="00E97F3D"/>
    <w:rsid w:val="00ED6BF8"/>
    <w:rsid w:val="00EE0226"/>
    <w:rsid w:val="00EE2FD0"/>
    <w:rsid w:val="00EF40E5"/>
    <w:rsid w:val="00F034DA"/>
    <w:rsid w:val="00F331AF"/>
    <w:rsid w:val="00F91B6A"/>
    <w:rsid w:val="00FA4E56"/>
    <w:rsid w:val="00FB2D40"/>
    <w:rsid w:val="00FD026E"/>
    <w:rsid w:val="0506170D"/>
    <w:rsid w:val="0581579E"/>
    <w:rsid w:val="068F5E8D"/>
    <w:rsid w:val="06F32700"/>
    <w:rsid w:val="099C43C1"/>
    <w:rsid w:val="0CA7220E"/>
    <w:rsid w:val="0E152FAC"/>
    <w:rsid w:val="102B64CB"/>
    <w:rsid w:val="10626B1D"/>
    <w:rsid w:val="107E2A9F"/>
    <w:rsid w:val="110349CE"/>
    <w:rsid w:val="12A64C72"/>
    <w:rsid w:val="156A1844"/>
    <w:rsid w:val="16043B77"/>
    <w:rsid w:val="18491BE4"/>
    <w:rsid w:val="1B0167A6"/>
    <w:rsid w:val="1B084FAB"/>
    <w:rsid w:val="1B776A68"/>
    <w:rsid w:val="244D325D"/>
    <w:rsid w:val="26D218F3"/>
    <w:rsid w:val="27E20E2A"/>
    <w:rsid w:val="29D451C6"/>
    <w:rsid w:val="2AB102E8"/>
    <w:rsid w:val="2C2E56AD"/>
    <w:rsid w:val="2DED1C0A"/>
    <w:rsid w:val="2DEF3608"/>
    <w:rsid w:val="2F9C24E9"/>
    <w:rsid w:val="311A0566"/>
    <w:rsid w:val="319927D7"/>
    <w:rsid w:val="330E785B"/>
    <w:rsid w:val="331534C8"/>
    <w:rsid w:val="358E0768"/>
    <w:rsid w:val="35A87D5D"/>
    <w:rsid w:val="383315E4"/>
    <w:rsid w:val="3901518A"/>
    <w:rsid w:val="3A5E2B15"/>
    <w:rsid w:val="3ABF7663"/>
    <w:rsid w:val="3E535575"/>
    <w:rsid w:val="3E6E7948"/>
    <w:rsid w:val="3E80785E"/>
    <w:rsid w:val="3F03223E"/>
    <w:rsid w:val="3F680D50"/>
    <w:rsid w:val="3FEF2A44"/>
    <w:rsid w:val="403317BF"/>
    <w:rsid w:val="409C0CB3"/>
    <w:rsid w:val="41967399"/>
    <w:rsid w:val="41CE1A4A"/>
    <w:rsid w:val="43086074"/>
    <w:rsid w:val="447B7438"/>
    <w:rsid w:val="45041352"/>
    <w:rsid w:val="4588349D"/>
    <w:rsid w:val="45AD1A01"/>
    <w:rsid w:val="46765223"/>
    <w:rsid w:val="4A1470AD"/>
    <w:rsid w:val="4A6E56B5"/>
    <w:rsid w:val="4AAB2E8E"/>
    <w:rsid w:val="4B756271"/>
    <w:rsid w:val="4CEE3AE2"/>
    <w:rsid w:val="4DCC3937"/>
    <w:rsid w:val="4FFFF412"/>
    <w:rsid w:val="50596615"/>
    <w:rsid w:val="5095081C"/>
    <w:rsid w:val="52416457"/>
    <w:rsid w:val="537FF316"/>
    <w:rsid w:val="54232D0E"/>
    <w:rsid w:val="54806F82"/>
    <w:rsid w:val="54CA058C"/>
    <w:rsid w:val="57934907"/>
    <w:rsid w:val="57EC855C"/>
    <w:rsid w:val="58541BFF"/>
    <w:rsid w:val="5A2328A3"/>
    <w:rsid w:val="5AB6636C"/>
    <w:rsid w:val="5BE321D1"/>
    <w:rsid w:val="5C83325E"/>
    <w:rsid w:val="5CEF7473"/>
    <w:rsid w:val="5E8C26C5"/>
    <w:rsid w:val="5ECB5112"/>
    <w:rsid w:val="63AE011A"/>
    <w:rsid w:val="64607667"/>
    <w:rsid w:val="64941A2C"/>
    <w:rsid w:val="665863D8"/>
    <w:rsid w:val="67523E91"/>
    <w:rsid w:val="67FEF21C"/>
    <w:rsid w:val="69D94DC7"/>
    <w:rsid w:val="6B4507B4"/>
    <w:rsid w:val="6BD10E4A"/>
    <w:rsid w:val="6BEF77FE"/>
    <w:rsid w:val="6BF7175B"/>
    <w:rsid w:val="6C471485"/>
    <w:rsid w:val="6C6D794A"/>
    <w:rsid w:val="6E1A6AD8"/>
    <w:rsid w:val="6EFA06B8"/>
    <w:rsid w:val="6FF199D5"/>
    <w:rsid w:val="70A94143"/>
    <w:rsid w:val="716FD02C"/>
    <w:rsid w:val="74781C35"/>
    <w:rsid w:val="753E1B95"/>
    <w:rsid w:val="7777150E"/>
    <w:rsid w:val="77CFFEA8"/>
    <w:rsid w:val="79FA5A10"/>
    <w:rsid w:val="7AFB0E8B"/>
    <w:rsid w:val="7BB576EC"/>
    <w:rsid w:val="7CFC5A66"/>
    <w:rsid w:val="7D7FB0E0"/>
    <w:rsid w:val="7D957F29"/>
    <w:rsid w:val="7DE36877"/>
    <w:rsid w:val="7DF53EFE"/>
    <w:rsid w:val="7E7406F4"/>
    <w:rsid w:val="7EFFA678"/>
    <w:rsid w:val="7F47673F"/>
    <w:rsid w:val="7F5DB051"/>
    <w:rsid w:val="7F951512"/>
    <w:rsid w:val="7FCF5573"/>
    <w:rsid w:val="7FE686C0"/>
    <w:rsid w:val="7FF52F01"/>
    <w:rsid w:val="7FF65930"/>
    <w:rsid w:val="7FF6C10A"/>
    <w:rsid w:val="7FFBA4AE"/>
    <w:rsid w:val="7FFF7B81"/>
    <w:rsid w:val="8EFFF058"/>
    <w:rsid w:val="9FBF4E11"/>
    <w:rsid w:val="B499075F"/>
    <w:rsid w:val="B7EF8FC1"/>
    <w:rsid w:val="B93F0963"/>
    <w:rsid w:val="BF3E3559"/>
    <w:rsid w:val="BFFB1775"/>
    <w:rsid w:val="BFFBD801"/>
    <w:rsid w:val="C5F71CA0"/>
    <w:rsid w:val="CF622113"/>
    <w:rsid w:val="DA3E8A78"/>
    <w:rsid w:val="DD3EAA07"/>
    <w:rsid w:val="DE7E89D8"/>
    <w:rsid w:val="E1A6561F"/>
    <w:rsid w:val="E6EE51C8"/>
    <w:rsid w:val="EB9F39C9"/>
    <w:rsid w:val="EFFF5BE6"/>
    <w:rsid w:val="F13BA91B"/>
    <w:rsid w:val="F687AF73"/>
    <w:rsid w:val="F7FBDC93"/>
    <w:rsid w:val="F9DD964E"/>
    <w:rsid w:val="FCBC1CA7"/>
    <w:rsid w:val="FDDA3B58"/>
    <w:rsid w:val="FEDF5988"/>
    <w:rsid w:val="FF6FA86C"/>
    <w:rsid w:val="FFF785F9"/>
    <w:rsid w:val="FFFD99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atLeast"/>
      <w:ind w:firstLine="880" w:firstLineChars="200"/>
      <w:jc w:val="both"/>
    </w:pPr>
    <w:rPr>
      <w:rFonts w:ascii="Times New Roman" w:hAnsi="Times New Roman" w:eastAsia="仿宋_GB2312" w:cs="宋体"/>
      <w:kern w:val="2"/>
      <w:sz w:val="32"/>
      <w:szCs w:val="22"/>
      <w:lang w:val="en-US" w:eastAsia="zh-CN" w:bidi="ar-SA"/>
    </w:rPr>
  </w:style>
  <w:style w:type="paragraph" w:styleId="3">
    <w:name w:val="heading 1"/>
    <w:next w:val="1"/>
    <w:link w:val="24"/>
    <w:qFormat/>
    <w:uiPriority w:val="0"/>
    <w:pPr>
      <w:widowControl w:val="0"/>
      <w:spacing w:line="560" w:lineRule="exact"/>
      <w:ind w:firstLine="200" w:firstLineChars="200"/>
      <w:jc w:val="both"/>
      <w:outlineLvl w:val="0"/>
      <w:pPrChange w:id="0" w:author="Administrator" w:date="2026-05-21T22:07:00Z">
        <w:pPr>
          <w:spacing w:line="600" w:lineRule="exact"/>
          <w:jc w:val="center"/>
          <w:outlineLvl w:val="0"/>
        </w:pPr>
      </w:pPrChange>
    </w:pPr>
    <w:rPr>
      <w:rFonts w:ascii="Times New Roman" w:hAnsi="Times New Roman" w:eastAsia="仿宋_GB2312" w:cstheme="minorBidi"/>
      <w:kern w:val="44"/>
      <w:sz w:val="32"/>
      <w:lang w:val="en-US" w:eastAsia="zh-CN" w:bidi="ar-SA"/>
      <w:rPrChange w:id="1" w:author="Administrator" w:date="2026-05-21T22:07:00Z">
        <w:rPr>
          <w:rFonts w:ascii="Calibri" w:hAnsi="Calibri" w:eastAsia="仿宋_GB2312" w:cstheme="minorBidi"/>
          <w:kern w:val="44"/>
          <w:sz w:val="32"/>
          <w:lang w:val="en-US" w:eastAsia="zh-CN" w:bidi="ar-SA"/>
        </w:rPr>
      </w:rPrChange>
    </w:rPr>
  </w:style>
  <w:style w:type="paragraph" w:styleId="4">
    <w:name w:val="heading 2"/>
    <w:basedOn w:val="3"/>
    <w:next w:val="3"/>
    <w:link w:val="25"/>
    <w:unhideWhenUsed/>
    <w:qFormat/>
    <w:uiPriority w:val="0"/>
    <w:pPr>
      <w:outlineLvl w:val="1"/>
      <w:pPrChange w:id="2" w:author="Administrator" w:date="2026-05-21T22:04:00Z">
        <w:pPr>
          <w:widowControl w:val="0"/>
          <w:spacing w:line="560" w:lineRule="exact"/>
          <w:ind w:firstLine="880" w:firstLineChars="200"/>
          <w:jc w:val="both"/>
          <w:outlineLvl w:val="1"/>
        </w:pPr>
      </w:pPrChange>
    </w:pPr>
    <w:rPr>
      <w:rFonts w:ascii="楷体" w:hAnsi="楷体" w:eastAsia="楷体"/>
      <w:rPrChange w:id="3" w:author="Administrator" w:date="2026-05-21T22:04:00Z">
        <w:rPr>
          <w:rFonts w:ascii="楷体" w:hAnsi="楷体" w:eastAsia="楷体" w:cstheme="minorBidi"/>
          <w:kern w:val="44"/>
          <w:sz w:val="32"/>
          <w:lang w:val="en-US" w:eastAsia="zh-CN" w:bidi="ar-SA"/>
        </w:rPr>
      </w:rPrChange>
    </w:rPr>
  </w:style>
  <w:style w:type="paragraph" w:styleId="5">
    <w:name w:val="heading 3"/>
    <w:basedOn w:val="3"/>
    <w:next w:val="3"/>
    <w:link w:val="21"/>
    <w:unhideWhenUsed/>
    <w:qFormat/>
    <w:uiPriority w:val="0"/>
    <w:pPr>
      <w:outlineLvl w:val="2"/>
      <w:pPrChange w:id="4" w:author="Administrator" w:date="2026-05-21T23:28:00Z">
        <w:pPr>
          <w:widowControl w:val="0"/>
          <w:spacing w:line="560" w:lineRule="exact"/>
          <w:ind w:firstLine="880" w:firstLineChars="200"/>
          <w:jc w:val="both"/>
          <w:outlineLvl w:val="2"/>
        </w:pPr>
      </w:pPrChange>
    </w:pPr>
    <w:rPr>
      <w:rFonts w:eastAsia="黑体" w:cs="Times New Roman"/>
      <w:rPrChange w:id="5" w:author="Administrator" w:date="2026-05-21T23:28:00Z">
        <w:rPr>
          <w:rFonts w:eastAsia="黑体"/>
          <w:b/>
          <w:kern w:val="44"/>
          <w:sz w:val="32"/>
          <w:lang w:val="en-US" w:eastAsia="zh-CN" w:bidi="ar-SA"/>
        </w:rPr>
      </w:rPrChange>
    </w:rPr>
  </w:style>
  <w:style w:type="paragraph" w:styleId="6">
    <w:name w:val="heading 4"/>
    <w:basedOn w:val="3"/>
    <w:next w:val="1"/>
    <w:link w:val="26"/>
    <w:unhideWhenUsed/>
    <w:qFormat/>
    <w:uiPriority w:val="0"/>
    <w:pPr>
      <w:spacing w:line="600" w:lineRule="exact"/>
      <w:ind w:firstLine="0" w:firstLineChars="0"/>
      <w:jc w:val="center"/>
      <w:outlineLvl w:val="3"/>
      <w:pPrChange w:id="6" w:author="Administrator" w:date="2026-05-21T22:06:00Z">
        <w:pPr>
          <w:widowControl w:val="0"/>
          <w:spacing w:line="560" w:lineRule="exact"/>
          <w:ind w:firstLine="640" w:firstLineChars="200"/>
          <w:jc w:val="both"/>
          <w:outlineLvl w:val="3"/>
        </w:pPr>
      </w:pPrChange>
    </w:pPr>
    <w:rPr>
      <w:rFonts w:eastAsia="方正小标宋简体"/>
      <w:sz w:val="44"/>
      <w:szCs w:val="32"/>
      <w:rPrChange w:id="7" w:author="Administrator" w:date="2026-05-21T22:06:00Z">
        <w:rPr>
          <w:rFonts w:eastAsia="华文中宋" w:cstheme="minorBidi"/>
          <w:kern w:val="44"/>
          <w:sz w:val="32"/>
          <w:szCs w:val="32"/>
          <w:lang w:val="en-US" w:eastAsia="zh-CN" w:bidi="ar-SA"/>
        </w:rPr>
      </w:rPrChange>
    </w:rPr>
  </w:style>
  <w:style w:type="character" w:default="1" w:styleId="14">
    <w:name w:val="Default Paragraph Font"/>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Calibri" w:hAnsi="Calibri" w:eastAsia="宋体" w:cs="Times New Roman"/>
      <w:sz w:val="21"/>
      <w:szCs w:val="24"/>
    </w:rPr>
  </w:style>
  <w:style w:type="paragraph" w:styleId="7">
    <w:name w:val="annotation text"/>
    <w:basedOn w:val="1"/>
    <w:link w:val="32"/>
    <w:qFormat/>
    <w:uiPriority w:val="0"/>
    <w:pPr>
      <w:jc w:val="left"/>
    </w:pPr>
  </w:style>
  <w:style w:type="paragraph" w:styleId="8">
    <w:name w:val="Body Text Indent"/>
    <w:basedOn w:val="1"/>
    <w:qFormat/>
    <w:uiPriority w:val="0"/>
    <w:pPr>
      <w:autoSpaceDE w:val="0"/>
      <w:autoSpaceDN w:val="0"/>
      <w:adjustRightInd w:val="0"/>
      <w:ind w:firstLine="735"/>
    </w:pPr>
    <w:rPr>
      <w:color w:val="000000"/>
      <w:kern w:val="0"/>
      <w:sz w:val="24"/>
      <w:szCs w:val="20"/>
    </w:rPr>
  </w:style>
  <w:style w:type="paragraph" w:styleId="9">
    <w:name w:val="footer"/>
    <w:basedOn w:val="1"/>
    <w:link w:val="20"/>
    <w:qFormat/>
    <w:uiPriority w:val="99"/>
    <w:pPr>
      <w:tabs>
        <w:tab w:val="center" w:pos="4153"/>
        <w:tab w:val="right" w:pos="8306"/>
      </w:tabs>
      <w:snapToGrid w:val="0"/>
      <w:jc w:val="left"/>
    </w:pPr>
    <w:rPr>
      <w:sz w:val="18"/>
      <w:szCs w:val="18"/>
    </w:rPr>
  </w:style>
  <w:style w:type="paragraph" w:styleId="10">
    <w:name w:val="header"/>
    <w:basedOn w:val="1"/>
    <w:link w:val="19"/>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99"/>
    <w:pPr>
      <w:widowControl/>
      <w:spacing w:before="100" w:beforeAutospacing="1" w:after="100" w:afterAutospacing="1"/>
      <w:jc w:val="left"/>
    </w:pPr>
    <w:rPr>
      <w:rFonts w:ascii="宋体" w:hAnsi="宋体"/>
      <w:kern w:val="0"/>
      <w:sz w:val="24"/>
      <w:szCs w:val="24"/>
    </w:rPr>
  </w:style>
  <w:style w:type="paragraph" w:styleId="12">
    <w:name w:val="Title"/>
    <w:basedOn w:val="1"/>
    <w:next w:val="1"/>
    <w:link w:val="33"/>
    <w:qFormat/>
    <w:uiPriority w:val="0"/>
    <w:pPr>
      <w:spacing w:before="240" w:after="60"/>
      <w:jc w:val="center"/>
      <w:outlineLvl w:val="0"/>
    </w:pPr>
    <w:rPr>
      <w:rFonts w:asciiTheme="majorHAnsi" w:hAnsiTheme="majorHAnsi" w:eastAsiaTheme="majorEastAsia" w:cstheme="majorBidi"/>
      <w:b/>
      <w:bCs/>
      <w:szCs w:val="32"/>
    </w:rPr>
  </w:style>
  <w:style w:type="character" w:styleId="15">
    <w:name w:val="Strong"/>
    <w:basedOn w:val="14"/>
    <w:qFormat/>
    <w:uiPriority w:val="0"/>
    <w:rPr>
      <w:b/>
    </w:rPr>
  </w:style>
  <w:style w:type="character" w:styleId="16">
    <w:name w:val="Hyperlink"/>
    <w:basedOn w:val="14"/>
    <w:qFormat/>
    <w:uiPriority w:val="0"/>
    <w:rPr>
      <w:color w:val="0000FF"/>
      <w:u w:val="single"/>
    </w:rPr>
  </w:style>
  <w:style w:type="character" w:styleId="17">
    <w:name w:val="annotation reference"/>
    <w:basedOn w:val="14"/>
    <w:qFormat/>
    <w:uiPriority w:val="0"/>
    <w:rPr>
      <w:sz w:val="21"/>
      <w:szCs w:val="21"/>
    </w:rPr>
  </w:style>
  <w:style w:type="paragraph" w:customStyle="1" w:styleId="18">
    <w:name w:val="样式 正文 + 首行缩进:  2 字符"/>
    <w:basedOn w:val="1"/>
    <w:qFormat/>
    <w:uiPriority w:val="0"/>
    <w:pPr>
      <w:ind w:firstLine="0" w:firstLineChars="0"/>
    </w:pPr>
    <w:rPr>
      <w:rFonts w:eastAsia="宋体" w:cs="Times New Roman"/>
      <w:sz w:val="21"/>
    </w:rPr>
  </w:style>
  <w:style w:type="character" w:customStyle="1" w:styleId="19">
    <w:name w:val="页眉 字符"/>
    <w:basedOn w:val="14"/>
    <w:link w:val="10"/>
    <w:qFormat/>
    <w:uiPriority w:val="99"/>
    <w:rPr>
      <w:sz w:val="18"/>
      <w:szCs w:val="18"/>
    </w:rPr>
  </w:style>
  <w:style w:type="character" w:customStyle="1" w:styleId="20">
    <w:name w:val="页脚 字符"/>
    <w:basedOn w:val="14"/>
    <w:link w:val="9"/>
    <w:qFormat/>
    <w:uiPriority w:val="99"/>
    <w:rPr>
      <w:sz w:val="18"/>
      <w:szCs w:val="18"/>
    </w:rPr>
  </w:style>
  <w:style w:type="character" w:customStyle="1" w:styleId="21">
    <w:name w:val="标题 3 字符"/>
    <w:link w:val="5"/>
    <w:qFormat/>
    <w:uiPriority w:val="0"/>
    <w:rPr>
      <w:rFonts w:eastAsia="黑体"/>
      <w:kern w:val="44"/>
      <w:sz w:val="32"/>
    </w:rPr>
  </w:style>
  <w:style w:type="paragraph" w:customStyle="1" w:styleId="22">
    <w:name w:val="修订1"/>
    <w:hidden/>
    <w:unhideWhenUsed/>
    <w:qFormat/>
    <w:uiPriority w:val="99"/>
    <w:rPr>
      <w:rFonts w:ascii="Calibri" w:hAnsi="Calibri" w:eastAsia="宋体" w:cs="宋体"/>
      <w:kern w:val="2"/>
      <w:sz w:val="21"/>
      <w:szCs w:val="22"/>
      <w:lang w:val="en-US" w:eastAsia="zh-CN" w:bidi="ar-SA"/>
    </w:rPr>
  </w:style>
  <w:style w:type="paragraph" w:styleId="23">
    <w:name w:val="List Paragraph"/>
    <w:basedOn w:val="1"/>
    <w:unhideWhenUsed/>
    <w:qFormat/>
    <w:uiPriority w:val="99"/>
    <w:pPr>
      <w:ind w:firstLine="420"/>
    </w:pPr>
  </w:style>
  <w:style w:type="character" w:customStyle="1" w:styleId="24">
    <w:name w:val="标题 1 字符"/>
    <w:link w:val="3"/>
    <w:qFormat/>
    <w:uiPriority w:val="0"/>
    <w:rPr>
      <w:rFonts w:eastAsia="仿宋_GB2312" w:cstheme="minorBidi"/>
      <w:kern w:val="44"/>
      <w:sz w:val="32"/>
    </w:rPr>
  </w:style>
  <w:style w:type="character" w:customStyle="1" w:styleId="25">
    <w:name w:val="标题 2 字符"/>
    <w:link w:val="4"/>
    <w:qFormat/>
    <w:uiPriority w:val="0"/>
    <w:rPr>
      <w:rFonts w:ascii="楷体" w:hAnsi="楷体" w:eastAsia="楷体" w:cstheme="minorBidi"/>
      <w:kern w:val="44"/>
      <w:sz w:val="32"/>
    </w:rPr>
  </w:style>
  <w:style w:type="character" w:customStyle="1" w:styleId="26">
    <w:name w:val="标题 4 字符"/>
    <w:link w:val="6"/>
    <w:qFormat/>
    <w:uiPriority w:val="0"/>
    <w:rPr>
      <w:rFonts w:eastAsia="方正小标宋简体" w:cstheme="minorBidi"/>
      <w:kern w:val="44"/>
      <w:sz w:val="44"/>
      <w:szCs w:val="32"/>
    </w:rPr>
  </w:style>
  <w:style w:type="paragraph" w:customStyle="1" w:styleId="27">
    <w:name w:val="修订2"/>
    <w:hidden/>
    <w:unhideWhenUsed/>
    <w:qFormat/>
    <w:uiPriority w:val="99"/>
    <w:rPr>
      <w:rFonts w:ascii="Times New Roman" w:hAnsi="Times New Roman" w:eastAsia="仿宋_GB2312" w:cs="宋体"/>
      <w:kern w:val="2"/>
      <w:sz w:val="32"/>
      <w:szCs w:val="22"/>
      <w:lang w:val="en-US" w:eastAsia="zh-CN" w:bidi="ar-SA"/>
    </w:rPr>
  </w:style>
  <w:style w:type="paragraph" w:customStyle="1" w:styleId="28">
    <w:name w:val="修订3"/>
    <w:hidden/>
    <w:unhideWhenUsed/>
    <w:qFormat/>
    <w:uiPriority w:val="99"/>
    <w:rPr>
      <w:rFonts w:ascii="Times New Roman" w:hAnsi="Times New Roman" w:eastAsia="仿宋_GB2312" w:cs="宋体"/>
      <w:kern w:val="2"/>
      <w:sz w:val="32"/>
      <w:szCs w:val="22"/>
      <w:lang w:val="en-US" w:eastAsia="zh-CN" w:bidi="ar-SA"/>
    </w:rPr>
  </w:style>
  <w:style w:type="paragraph" w:customStyle="1" w:styleId="29">
    <w:name w:val="修订4"/>
    <w:hidden/>
    <w:unhideWhenUsed/>
    <w:qFormat/>
    <w:uiPriority w:val="99"/>
    <w:rPr>
      <w:rFonts w:ascii="Times New Roman" w:hAnsi="Times New Roman" w:eastAsia="仿宋_GB2312" w:cs="宋体"/>
      <w:kern w:val="2"/>
      <w:sz w:val="32"/>
      <w:szCs w:val="22"/>
      <w:lang w:val="en-US" w:eastAsia="zh-CN" w:bidi="ar-SA"/>
    </w:rPr>
  </w:style>
  <w:style w:type="paragraph" w:customStyle="1" w:styleId="30">
    <w:name w:val="修订5"/>
    <w:hidden/>
    <w:unhideWhenUsed/>
    <w:qFormat/>
    <w:uiPriority w:val="99"/>
    <w:rPr>
      <w:rFonts w:ascii="Times New Roman" w:hAnsi="Times New Roman" w:eastAsia="仿宋_GB2312" w:cs="宋体"/>
      <w:kern w:val="2"/>
      <w:sz w:val="32"/>
      <w:szCs w:val="22"/>
      <w:lang w:val="en-US" w:eastAsia="zh-CN" w:bidi="ar-SA"/>
    </w:rPr>
  </w:style>
  <w:style w:type="paragraph" w:customStyle="1" w:styleId="31">
    <w:name w:val="Revision"/>
    <w:hidden/>
    <w:unhideWhenUsed/>
    <w:qFormat/>
    <w:uiPriority w:val="99"/>
    <w:rPr>
      <w:rFonts w:ascii="Times New Roman" w:hAnsi="Times New Roman" w:eastAsia="仿宋_GB2312" w:cs="宋体"/>
      <w:kern w:val="2"/>
      <w:sz w:val="32"/>
      <w:szCs w:val="22"/>
      <w:lang w:val="en-US" w:eastAsia="zh-CN" w:bidi="ar-SA"/>
    </w:rPr>
  </w:style>
  <w:style w:type="character" w:customStyle="1" w:styleId="32">
    <w:name w:val="批注文字 字符"/>
    <w:basedOn w:val="14"/>
    <w:link w:val="7"/>
    <w:qFormat/>
    <w:uiPriority w:val="0"/>
    <w:rPr>
      <w:rFonts w:eastAsia="仿宋_GB2312" w:cs="宋体"/>
      <w:kern w:val="2"/>
      <w:sz w:val="32"/>
      <w:szCs w:val="22"/>
    </w:rPr>
  </w:style>
  <w:style w:type="character" w:customStyle="1" w:styleId="33">
    <w:name w:val="标题 字符"/>
    <w:basedOn w:val="14"/>
    <w:link w:val="12"/>
    <w:qFormat/>
    <w:uiPriority w:val="0"/>
    <w:rPr>
      <w:rFonts w:asciiTheme="majorHAnsi" w:hAnsiTheme="majorHAnsi" w:eastAsiaTheme="majorEastAsia" w:cstheme="majorBidi"/>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4792</Words>
  <Characters>4819</Characters>
  <Lines>63</Lines>
  <Paragraphs>17</Paragraphs>
  <TotalTime>33</TotalTime>
  <ScaleCrop>false</ScaleCrop>
  <LinksUpToDate>false</LinksUpToDate>
  <CharactersWithSpaces>4861</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2022-12-19T23:38:00Z</dcterms:created>
  <dc:creator>Administrator</dc:creator>
  <cp:lastModifiedBy>administrator</cp:lastModifiedBy>
  <cp:lastPrinted>2026-06-18T15:38:00Z</cp:lastPrinted>
  <dcterms:modified xsi:type="dcterms:W3CDTF">2026-06-22T18:25:08Z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D671BA62A5704D78BEF3A2C094F45178_13</vt:lpwstr>
  </property>
  <property fmtid="{D5CDD505-2E9C-101B-9397-08002B2CF9AE}" pid="4" name="KSOTemplateDocerSaveRecord">
    <vt:lpwstr>eyJoZGlkIjoiZjdkYjdjNGM3NmFkMDgyODgxZTg1OGQwZDk3Nzc4MDkiLCJ1c2VySWQiOiIyNzE2NzY1MDcifQ==</vt:lpwstr>
  </property>
</Properties>
</file>