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u w:val="none"/>
        </w:rPr>
      </w:pPr>
      <mc:AlternateContent>
        <mc:Choice Requires="wpsCustomData">
          <wpsCustomData:docfieldStart id="0" docfieldname="标题_1" hidden="false" print="true" readonly="false" index="1"/>
        </mc:Choice>
      </mc:AlternateContent>
      <w:r>
        <w:rPr>
          <w:u w:val="none"/>
        </w:rPr>
        <w:t>对城市更新工作的思考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楷体" w:hAnsi="楷体" w:eastAsia="楷体" w:cs="楷体"/>
          <w:kern w:val="0"/>
          <w:sz w:val="32"/>
          <w:szCs w:val="32"/>
          <w:lang w:val="en-US" w:eastAsia="zh-CN" w:bidi="ar"/>
        </w:rPr>
      </w:pPr>
      <w:r>
        <w:rPr>
          <w:rFonts w:hint="eastAsia" w:ascii="楷体" w:hAnsi="楷体" w:eastAsia="楷体" w:cs="楷体"/>
          <w:kern w:val="0"/>
          <w:sz w:val="32"/>
          <w:szCs w:val="32"/>
          <w:lang w:val="en-US" w:eastAsia="zh-CN" w:bidi="ar"/>
        </w:rPr>
        <w:t>工程勘察设计</w:t>
      </w:r>
      <w:bookmarkStart w:id="0" w:name="_GoBack"/>
      <w:bookmarkEnd w:id="0"/>
      <w:r>
        <w:rPr>
          <w:rFonts w:hint="eastAsia" w:ascii="楷体" w:hAnsi="楷体" w:eastAsia="楷体" w:cs="楷体"/>
          <w:kern w:val="0"/>
          <w:sz w:val="32"/>
          <w:szCs w:val="32"/>
          <w:lang w:val="en-US" w:eastAsia="zh-CN" w:bidi="ar"/>
        </w:rPr>
        <w:t>科四级主任科员 冯朝阳</w:t>
      </w:r>
      <mc:AlternateContent>
        <mc:Choice Requires="wpsCustomData">
          <wpsCustomData:docfieldEnd id="0"/>
        </mc:Choice>
      </mc:AlternateContent>
    </w:p>
    <w:p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Nimbus Roman" w:hAnsi="Nimbus Roman" w:eastAsia="仿宋_GB2312" w:cs="Nimbus Roman"/>
          <w:kern w:val="2"/>
          <w:sz w:val="32"/>
          <w:szCs w:val="32"/>
          <w:lang w:val="en-US" w:eastAsia="zh-CN" w:bidi="ar-SA"/>
        </w:rPr>
      </w:pPr>
      <w:r>
        <w:rPr>
          <w:rFonts w:hint="eastAsia" w:ascii="Nimbus Roman" w:hAnsi="Nimbus Roman" w:eastAsia="仿宋_GB2312" w:cs="Nimbus Roman"/>
          <w:kern w:val="2"/>
          <w:sz w:val="32"/>
          <w:szCs w:val="32"/>
          <w:lang w:val="en-US" w:eastAsia="zh-CN" w:bidi="ar-SA"/>
        </w:rPr>
        <w:t>结合日常履职工作，我对城市更新工作的核心内涵、实践痛点及推进路径进行了系统梳理和深入思考，具体如下：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一、对城市更新的核心认识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Nimbus Roman" w:hAnsi="Nimbus Roman" w:eastAsia="仿宋_GB2312" w:cs="Nimbus Roman"/>
          <w:kern w:val="2"/>
          <w:sz w:val="32"/>
          <w:szCs w:val="32"/>
          <w:lang w:val="en-US" w:eastAsia="zh-CN" w:bidi="ar-SA"/>
        </w:rPr>
      </w:pPr>
      <w:r>
        <w:rPr>
          <w:rFonts w:hint="eastAsia" w:ascii="Nimbus Roman" w:hAnsi="Nimbus Roman" w:eastAsia="仿宋_GB2312" w:cs="Nimbus Roman"/>
          <w:kern w:val="2"/>
          <w:sz w:val="32"/>
          <w:szCs w:val="32"/>
          <w:lang w:val="en-US" w:eastAsia="zh-CN" w:bidi="ar-SA"/>
        </w:rPr>
        <w:t>城市更新绝非单纯的工程建设、环境整治或局部翻新，是城市发展由外延式扩张向内涵式提质转型的关键举措，更是统筹空间优化、民生改善、产业升级、基层治理提升的系统性、长期性工作。相较于传统大拆大建、推倒新建的城建模式，新时代城市更新拥有全新的发展理念与工作逻辑，本人主要有三点深刻认知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Nimbus Roman" w:hAnsi="Nimbus Roman" w:eastAsia="仿宋_GB2312" w:cs="Nimbus Roman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kern w:val="0"/>
          <w:sz w:val="32"/>
          <w:szCs w:val="32"/>
          <w:lang w:val="en-US" w:eastAsia="zh-CN" w:bidi="ar"/>
        </w:rPr>
        <w:t>第一，城市更新的核心逻辑是“存量盘活”，而非“推倒重来”。</w:t>
      </w:r>
      <w:r>
        <w:rPr>
          <w:rFonts w:hint="eastAsia" w:ascii="Nimbus Roman" w:hAnsi="Nimbus Roman" w:eastAsia="仿宋_GB2312" w:cs="Nimbus Roman"/>
          <w:kern w:val="2"/>
          <w:sz w:val="32"/>
          <w:szCs w:val="32"/>
          <w:lang w:val="en-US" w:eastAsia="zh-CN" w:bidi="ar-SA"/>
        </w:rPr>
        <w:t>过去城市建设主要依靠新增土地、新建建筑拉动发展，而城市更新是对现有城区、老旧空间的二次开发与价值重塑。核心是尊重城市现有建成基底，通过梳理空间资源、补齐功能短板、优化空间布局，让低效空间重新产生价值，这是城市发展进入成熟期后的必然选择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Nimbus Roman" w:hAnsi="Nimbus Roman" w:eastAsia="仿宋_GB2312" w:cs="Nimbus Roman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kern w:val="0"/>
          <w:sz w:val="32"/>
          <w:szCs w:val="32"/>
          <w:lang w:val="en-US" w:eastAsia="zh-CN" w:bidi="ar"/>
        </w:rPr>
        <w:t>第二，城市更新的核心主体是“人”，而非“建筑”。</w:t>
      </w:r>
      <w:r>
        <w:rPr>
          <w:rFonts w:hint="eastAsia" w:ascii="Nimbus Roman" w:hAnsi="Nimbus Roman" w:eastAsia="仿宋_GB2312" w:cs="Nimbus Roman"/>
          <w:kern w:val="2"/>
          <w:sz w:val="32"/>
          <w:szCs w:val="32"/>
          <w:lang w:val="en-US" w:eastAsia="zh-CN" w:bidi="ar-SA"/>
        </w:rPr>
        <w:t>建筑、街巷、设施只是城市更新的载体，最终服务对象是居民、商户和基层治理单元。不同于新建项目侧重工程指标、建设标准，城市更新更聚焦人居体验、生活便利度、社群归属感，所有改造工作都要围绕群众的生活需求、基层治理需求展开，这是城市更新最核心的价值导向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Nimbus Roman" w:hAnsi="Nimbus Roman" w:eastAsia="仿宋_GB2312" w:cs="Nimbus Roman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kern w:val="0"/>
          <w:sz w:val="32"/>
          <w:szCs w:val="32"/>
          <w:lang w:val="en-US" w:eastAsia="zh-CN" w:bidi="ar"/>
        </w:rPr>
        <w:t>第三，城市更新的核心目标是“长效运营”，而非“一次性完工”。</w:t>
      </w:r>
      <w:r>
        <w:rPr>
          <w:rFonts w:hint="eastAsia" w:ascii="Nimbus Roman" w:hAnsi="Nimbus Roman" w:eastAsia="仿宋_GB2312" w:cs="Nimbus Roman"/>
          <w:kern w:val="2"/>
          <w:sz w:val="32"/>
          <w:szCs w:val="32"/>
          <w:lang w:val="en-US" w:eastAsia="zh-CN" w:bidi="ar-SA"/>
        </w:rPr>
        <w:t>传统城建项目重建设、轻运维，完工即收尾；而城市更新是建设与运营并重，改造完成只是起点，后续的社区治理、业态运营、设施管护、长效维护才是决定更新成效的关键。只有实现建管运一体化，才能避免出现“一年新、两年旧、三年返乱”的问题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Nimbus Roman" w:hAnsi="Nimbus Roman" w:eastAsia="仿宋_GB2312" w:cs="Nimbus Roman"/>
          <w:kern w:val="2"/>
          <w:sz w:val="32"/>
          <w:szCs w:val="32"/>
          <w:lang w:val="en-US" w:eastAsia="zh-CN" w:bidi="ar-SA"/>
        </w:rPr>
      </w:pPr>
      <w:r>
        <w:rPr>
          <w:rFonts w:hint="eastAsia" w:ascii="Nimbus Roman" w:hAnsi="Nimbus Roman" w:eastAsia="仿宋_GB2312" w:cs="Nimbus Roman"/>
          <w:kern w:val="2"/>
          <w:sz w:val="32"/>
          <w:szCs w:val="32"/>
          <w:lang w:val="en-US" w:eastAsia="zh-CN" w:bidi="ar-SA"/>
        </w:rPr>
        <w:t>总体而言，城市更新是空间重塑、民生提质、基层治理的有机结合，工程改造是手段，人居提质、区域赋能、长效治理才是根本目标。我们日常涉及的各类专业管控工作，只是服务这一总体目标的配套支撑，而非城市更新的全部内核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jc w:val="both"/>
        <w:textAlignment w:val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二、当前消防审验在城市更新推进中存在的问题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Nimbus Roman" w:hAnsi="Nimbus Roman" w:eastAsia="仿宋_GB2312" w:cs="Nimbus Roman"/>
          <w:kern w:val="2"/>
          <w:sz w:val="32"/>
          <w:szCs w:val="32"/>
          <w:lang w:val="en-US" w:eastAsia="zh-CN" w:bidi="ar-SA"/>
        </w:rPr>
      </w:pPr>
      <w:r>
        <w:rPr>
          <w:rFonts w:hint="eastAsia" w:ascii="Nimbus Roman" w:hAnsi="Nimbus Roman" w:eastAsia="仿宋_GB2312" w:cs="Nimbus Roman"/>
          <w:kern w:val="2"/>
          <w:sz w:val="32"/>
          <w:szCs w:val="32"/>
          <w:lang w:val="en-US" w:eastAsia="zh-CN" w:bidi="ar-SA"/>
        </w:rPr>
        <w:t>结合科室消防审验工作职责与城市更新存量改造工作实际，当前既有建筑更新改造项目推进过程中，普遍存在标准适配难、手续壁垒多、落地成本高、推进效率低等痛点问题，一定程度制约了城市更新提质增效、市场化推进，具体主要体现在两方面：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jc w:val="both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（一）消防技术标准适配性不足，改造成本与改造难度失控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Nimbus Roman" w:hAnsi="Nimbus Roman" w:eastAsia="仿宋_GB2312" w:cs="Nimbus Roman"/>
          <w:kern w:val="2"/>
          <w:sz w:val="32"/>
          <w:szCs w:val="32"/>
          <w:lang w:val="en-US" w:eastAsia="zh-CN" w:bidi="ar-SA"/>
        </w:rPr>
      </w:pPr>
      <w:r>
        <w:rPr>
          <w:rFonts w:hint="eastAsia" w:ascii="Nimbus Roman" w:hAnsi="Nimbus Roman" w:eastAsia="仿宋_GB2312" w:cs="Nimbus Roman"/>
          <w:kern w:val="2"/>
          <w:sz w:val="32"/>
          <w:szCs w:val="32"/>
          <w:lang w:val="en-US" w:eastAsia="zh-CN" w:bidi="ar-SA"/>
        </w:rPr>
        <w:t>城市更新以局部改造、微更新、存量提质为主，区别于整体新建、整体改造项目，现有消防技术标准多针对全新建设工程制定，与老旧建筑存量改造场景适配性较差。一方面，多数局部改造项目仅需优化自有使用区域消防条件、补齐基础安全短板，改造区域可完全符合现行消防规范标准。但现行审验要求需统筹整栋建筑、公共区域消防安全，项目局部改造后，整栋建筑公共通道、消防设施、防火分区、疏散体系等原有老旧配套设施需同步按新标准整改升级，存在“小改造、大整改”的不合理情况。另一方面，部分老旧建筑受建成年代、原有建设结构、空间格局限制，部分现行消防标准条款不具备落地改造条件，盲目整改不仅大幅增加企业、商户、业主的改造资金成本与时间成本，打消市场主体改造意愿，还易出现改造方案无法落地、项目停滞的问题，严重制约存量空间盘活效率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jc w:val="both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（二）前置规划手续制约明显，项目审批落地壁垒突出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Nimbus Roman" w:hAnsi="Nimbus Roman" w:eastAsia="仿宋_GB2312" w:cs="Nimbus Roman"/>
          <w:kern w:val="2"/>
          <w:sz w:val="32"/>
          <w:szCs w:val="32"/>
          <w:lang w:val="en-US" w:eastAsia="zh-CN" w:bidi="ar-SA"/>
        </w:rPr>
      </w:pPr>
      <w:r>
        <w:rPr>
          <w:rFonts w:hint="eastAsia" w:ascii="Nimbus Roman" w:hAnsi="Nimbus Roman" w:eastAsia="仿宋_GB2312" w:cs="Nimbus Roman"/>
          <w:kern w:val="2"/>
          <w:sz w:val="32"/>
          <w:szCs w:val="32"/>
          <w:lang w:val="en-US" w:eastAsia="zh-CN" w:bidi="ar-SA"/>
        </w:rPr>
        <w:t>根据现有建设工程管理相关法规，既有建筑改造若涉及使用性质调整、功能业态变更，需先行办理建设工程规划许可证变更手续，方可开展后续消防设计、施工、审验等流程。在城市更新实操过程中，大量老旧建筑提质改造仅为优化业态、适配民生需求、提升空间利用率，改造方案完全满足消防安全、建筑安全等技术标准，能够切实提升人居环境与空间价值。但受原有建筑规划性质、土地用途</w:t>
      </w:r>
      <w:r>
        <w:rPr>
          <w:rFonts w:hint="default" w:ascii="Nimbus Roman" w:hAnsi="Nimbus Roman" w:eastAsia="仿宋_GB2312" w:cs="Nimbus Roman"/>
          <w:kern w:val="2"/>
          <w:sz w:val="32"/>
          <w:szCs w:val="32"/>
          <w:lang w:val="en-US" w:eastAsia="zh-CN" w:bidi="ar-SA"/>
        </w:rPr>
        <w:t>等</w:t>
      </w:r>
      <w:r>
        <w:rPr>
          <w:rFonts w:hint="eastAsia" w:ascii="Nimbus Roman" w:hAnsi="Nimbus Roman" w:eastAsia="仿宋_GB2312" w:cs="Nimbus Roman"/>
          <w:kern w:val="2"/>
          <w:sz w:val="32"/>
          <w:szCs w:val="32"/>
          <w:lang w:val="en-US" w:eastAsia="zh-CN" w:bidi="ar-SA"/>
        </w:rPr>
        <w:t>指标限制，部分项目无法顺利办理规划变更手续，导致后续消防审验、竣工验收、备案投产等流程全部停滞。该问题造成大量优质更新项目“技术可行、手续不通”，不仅制约项目快速落地见效，极大打击社会资本参与城市更新、老旧建筑改造的积极性，不利于市场化推进城市更新工作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jc w:val="both"/>
        <w:textAlignment w:val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三、下一步工作努力方向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Nimbus Roman" w:hAnsi="Nimbus Roman" w:eastAsia="仿宋_GB2312" w:cs="Nimbus Roman"/>
          <w:kern w:val="2"/>
          <w:sz w:val="32"/>
          <w:szCs w:val="32"/>
          <w:lang w:val="en-US" w:eastAsia="zh-CN" w:bidi="ar-SA"/>
        </w:rPr>
      </w:pPr>
      <w:r>
        <w:rPr>
          <w:rFonts w:hint="eastAsia" w:ascii="Nimbus Roman" w:hAnsi="Nimbus Roman" w:eastAsia="仿宋_GB2312" w:cs="Nimbus Roman"/>
          <w:kern w:val="2"/>
          <w:sz w:val="32"/>
          <w:szCs w:val="32"/>
          <w:lang w:val="en-US" w:eastAsia="zh-CN" w:bidi="ar-SA"/>
        </w:rPr>
        <w:t>针对以上问题，结合岗位职能，立足城市更新提质增效、便民利企、优化营商环境核心目标，聚焦标准适配、政策落地、服务赋能、难题破解，全方位助力城市更新项目高效推进，下一步重点做好三方面工作：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jc w:val="both"/>
        <w:textAlignment w:val="auto"/>
        <w:rPr>
          <w:rFonts w:hint="eastAsia" w:ascii="Nimbus Roman" w:hAnsi="Nimbus Roman" w:eastAsia="楷体_GB2312" w:cs="Nimbus Roman"/>
          <w:kern w:val="2"/>
          <w:sz w:val="32"/>
          <w:szCs w:val="32"/>
          <w:lang w:val="en" w:eastAsia="zh-CN" w:bidi="ar-SA"/>
        </w:rPr>
      </w:pPr>
      <w:r>
        <w:rPr>
          <w:rFonts w:hint="eastAsia" w:ascii="Nimbus Roman" w:hAnsi="Nimbus Roman" w:eastAsia="楷体_GB2312" w:cs="Nimbus Roman"/>
          <w:kern w:val="2"/>
          <w:sz w:val="32"/>
          <w:szCs w:val="32"/>
          <w:lang w:val="en" w:eastAsia="zh-CN" w:bidi="ar-SA"/>
        </w:rPr>
        <w:t>（一）深耕标准研究，编制适配落地的技术指引，破解改造标准难题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Nimbus Roman" w:hAnsi="Nimbus Roman" w:eastAsia="仿宋_GB2312" w:cs="Nimbus Roman"/>
          <w:kern w:val="2"/>
          <w:sz w:val="32"/>
          <w:szCs w:val="32"/>
          <w:lang w:val="en-US" w:eastAsia="zh-CN" w:bidi="ar-SA"/>
        </w:rPr>
      </w:pPr>
      <w:r>
        <w:rPr>
          <w:rFonts w:hint="eastAsia" w:ascii="Nimbus Roman" w:hAnsi="Nimbus Roman" w:eastAsia="仿宋_GB2312" w:cs="Nimbus Roman"/>
          <w:kern w:val="2"/>
          <w:sz w:val="32"/>
          <w:szCs w:val="32"/>
          <w:lang w:val="en-US" w:eastAsia="zh-CN" w:bidi="ar-SA"/>
        </w:rPr>
        <w:t>主动对标先进地市城市更新既有建筑改造、消防审验差异化管控经验，系统梳理老旧小区、老旧商铺、老旧厂房等不同类型存量建筑的改造场景、痛点难点。结合本地城市更新工作实际、老旧建筑现状基底，牵头梳理现行消防规范中不适配存量局部改造的条款，分类明确不同改造场景、改造范围、改造程度的消防技术适用标准、豁免条款、简化流程。牵头编制本地化、可落地、可实操的《既有建筑城市更新改造消防技术指引》，细化局部改造、功能微调、业态升级等不同情形的审验标准，明确公共区域配套改造的边界范围、容错机制，杜绝“一刀切”整改、过度整改问题，在守住消防安全底线的前提下，最大限度降低市场主体改造成本、提升项目改造效率。同时依托日常业务对接，为建设单位、施工单位、设计单位提供精准技术指导，提前预判改造风险、优化改造方案，助力项目高效推进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jc w:val="both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（二）强化政策研学与宣传落地，打通审批手续堵点，赋能项目提质提速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Nimbus Roman" w:hAnsi="Nimbus Roman" w:eastAsia="仿宋_GB2312" w:cs="Nimbus Roman"/>
          <w:kern w:val="2"/>
          <w:sz w:val="32"/>
          <w:szCs w:val="32"/>
          <w:lang w:val="en-US" w:eastAsia="zh-CN" w:bidi="ar-SA"/>
        </w:rPr>
      </w:pPr>
      <w:r>
        <w:rPr>
          <w:rFonts w:hint="eastAsia" w:ascii="Nimbus Roman" w:hAnsi="Nimbus Roman" w:eastAsia="仿宋_GB2312" w:cs="Nimbus Roman"/>
          <w:kern w:val="2"/>
          <w:sz w:val="32"/>
          <w:szCs w:val="32"/>
          <w:lang w:val="en-US" w:eastAsia="zh-CN" w:bidi="ar-SA"/>
        </w:rPr>
        <w:t>常态化研学城市更新、规划审批、消防审验领域最新政策、新规细则及差异化扶持政策，精准吃透政策适用场景、办理条件、审批流程。一方面，主动对接规划等相关部门，建立跨部门联动沟通机制，针对既有建筑改造性质变更、规划手续办理、消防审验衔接等高频难点问题，梳理形成问题清单、解决方案清单，打通部门审批壁垒，推动政策互通、流程互通、问题共治。另一方面，通过企业走访、线上宣讲、窗口答疑、业务培训等多种形式，面向辖区改造项目主体、基层经办人员广泛宣传城市更新最新政策、简化审批流程、容错适用标准，精准解答手续办理、标准适用等高频疑问，让市场主体懂政策、会申报、少跑腿。同时主动靠前服务，对重点城市更新项目实行全程跟进、全程指导，助力新政策、新举措全面落地见效，充分激活社会资本参与城市更新的积极性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（三）健全长效服务管控机制，兼顾安全底线与更新活力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Nimbus Roman" w:hAnsi="Nimbus Roman" w:eastAsia="仿宋_GB2312" w:cs="Nimbus Roman"/>
          <w:kern w:val="2"/>
          <w:sz w:val="32"/>
          <w:szCs w:val="32"/>
          <w:lang w:val="en-US" w:eastAsia="zh-CN" w:bidi="ar-SA"/>
        </w:rPr>
      </w:pPr>
      <w:r>
        <w:rPr>
          <w:rFonts w:hint="eastAsia" w:ascii="Nimbus Roman" w:hAnsi="Nimbus Roman" w:eastAsia="仿宋_GB2312" w:cs="Nimbus Roman"/>
          <w:kern w:val="2"/>
          <w:sz w:val="32"/>
          <w:szCs w:val="32"/>
          <w:lang w:val="en-US" w:eastAsia="zh-CN" w:bidi="ar-SA"/>
        </w:rPr>
        <w:t>坚持“安全为本、提质增效、便民利企”原则，平衡消防安全管控与城市更新发展需求。建立城市更新改造项目台账化管理机制，对存量改造项目实行分类管控、动态监管，精准区分重大安全隐患整改、一般性提质改造、轻微业态调整等不同类型项目，实行差异化审验、常态化督导。同时，主动对接基层治理、运维管理工作，将消防长效管护要求融入城市更新建管运全流程，指导项目改造完成后建立常态化消防设施管护、隐患排查机制，从源头杜绝改造后隐患反弹问题，真正实现城市更新“改造提质、安全达标、长效运维”，全面助力城市内涵式高质量发展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</w:pPr>
    </w:p>
    <w:p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</w:pPr>
    </w:p>
    <w:sectPr>
      <w:headerReference r:id="rId3" w:type="default"/>
      <w:footerReference r:id="rId5" w:type="default"/>
      <w:headerReference r:id="rId4" w:type="even"/>
      <w:footerReference r:id="rId6" w:type="even"/>
      <w:pgSz w:w="11906" w:h="16838"/>
      <w:pgMar w:top="2098" w:right="1474" w:bottom="1984" w:left="1587" w:header="851" w:footer="1417" w:gutter="0"/>
      <w:pgNumType w:fmt="decimal" w:start="1"/>
      <w:cols w:space="425" w:num="1"/>
      <w:docGrid w:type="linesAndChars" w:linePitch="579" w:charSpace="1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楷体_GB2312">
    <w:altName w:val="方正楷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">
    <w:altName w:val="方正楷体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Nimbus Roman">
    <w:panose1 w:val="00000500000000000000"/>
    <w:charset w:val="00"/>
    <w:family w:val="auto"/>
    <w:pitch w:val="default"/>
    <w:sig w:usb0="00000287" w:usb1="00000800" w:usb2="00000000" w:usb3="00000000" w:csb0="6000009F" w:csb1="00000000"/>
  </w:font>
  <w:font w:name="仿宋">
    <w:altName w:val="汉仪仿宋简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汉仪仿宋简">
    <w:panose1 w:val="02010600000101010101"/>
    <w:charset w:val="86"/>
    <w:family w:val="auto"/>
    <w:pitch w:val="default"/>
    <w:sig w:usb0="00000001" w:usb1="080E0800" w:usb2="00000002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default" w:ascii="Nimbus Roman" w:hAnsi="Nimbus Roman" w:cs="Nimbus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default" w:ascii="Nimbus Roman" w:hAnsi="Nimbus Roman" w:cs="Nimbus Roman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default" w:ascii="Nimbus Roman" w:hAnsi="Nimbus Roman" w:cs="Nimbus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Nimbus Roman" w:hAnsi="Nimbus Roman" w:cs="Nimbus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Nimbus Roman" w:hAnsi="Nimbus Roman" w:cs="Nimbus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Nimbus Roman" w:hAnsi="Nimbus Roman" w:cs="Nimbus Roman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default" w:ascii="Nimbus Roman" w:hAnsi="Nimbus Roman" w:cs="Nimbus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default" w:ascii="Nimbus Roman" w:hAnsi="Nimbus Roman" w:cs="Nimbus Roman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BYAAABkcnMvUEsBAhQAFAAAAAgA&#10;h07iQLNJWO7QAAAABQEAAA8AAAAAAAAAAQAgAAAAOAAAAGRycy9kb3ducmV2LnhtbFBLAQIUABQA&#10;AAAIAIdO4kA8FiLyGwIAACkEAAAOAAAAAAAAAAEAIAAAADU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default" w:ascii="Nimbus Roman" w:hAnsi="Nimbus Roman" w:cs="Nimbus Roman"/>
                        <w:sz w:val="28"/>
                        <w:szCs w:val="28"/>
                      </w:rPr>
                    </w:pPr>
                    <w:r>
                      <w:rPr>
                        <w:rFonts w:hint="default" w:ascii="Nimbus Roman" w:hAnsi="Nimbus Roman" w:cs="Nimbus Roman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default" w:ascii="Nimbus Roman" w:hAnsi="Nimbus Roman" w:cs="Nimbus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Nimbus Roman" w:hAnsi="Nimbus Roman" w:cs="Nimbus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Nimbus Roman" w:hAnsi="Nimbus Roman" w:cs="Nimbus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Nimbus Roman" w:hAnsi="Nimbus Roman" w:cs="Nimbus Roman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default" w:ascii="Nimbus Roman" w:hAnsi="Nimbus Roman" w:cs="Nimbus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default" w:ascii="Nimbus Roman" w:hAnsi="Nimbus Roman" w:cs="Nimbus Roman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default" w:ascii="Nimbus Roman" w:hAnsi="Nimbus Roman" w:cs="Nimbus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default" w:ascii="Nimbus Roman" w:hAnsi="Nimbus Roman" w:cs="Nimbus Roman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default" w:ascii="Nimbus Roman" w:hAnsi="Nimbus Roman" w:cs="Nimbus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Nimbus Roman" w:hAnsi="Nimbus Roman" w:cs="Nimbus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Nimbus Roman" w:hAnsi="Nimbus Roman" w:cs="Nimbus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Nimbus Roman" w:hAnsi="Nimbus Roman" w:cs="Nimbus Roman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hint="default" w:ascii="Nimbus Roman" w:hAnsi="Nimbus Roman" w:cs="Nimbus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default" w:ascii="Nimbus Roman" w:hAnsi="Nimbus Roman" w:cs="Nimbus Roman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FgAAAGRycy9QSwECFAAUAAAA&#10;CACHTuJAs0lY7tAAAAAFAQAADwAAAAAAAAABACAAAAA4AAAAZHJzL2Rvd25yZXYueG1sUEsBAhQA&#10;FAAAAAgAh07iQPXvojAdAgAAKQQAAA4AAAAAAAAAAQAgAAAANQ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default" w:ascii="Nimbus Roman" w:hAnsi="Nimbus Roman" w:cs="Nimbus Roman"/>
                        <w:sz w:val="28"/>
                        <w:szCs w:val="28"/>
                      </w:rPr>
                    </w:pPr>
                    <w:r>
                      <w:rPr>
                        <w:rFonts w:hint="default" w:ascii="Nimbus Roman" w:hAnsi="Nimbus Roman" w:cs="Nimbus Roman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default" w:ascii="Nimbus Roman" w:hAnsi="Nimbus Roman" w:cs="Nimbus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Nimbus Roman" w:hAnsi="Nimbus Roman" w:cs="Nimbus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Nimbus Roman" w:hAnsi="Nimbus Roman" w:cs="Nimbus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Nimbus Roman" w:hAnsi="Nimbus Roman" w:cs="Nimbus Roman"/>
                        <w:sz w:val="28"/>
                        <w:szCs w:val="28"/>
                      </w:rPr>
                      <w:t>2</w:t>
                    </w:r>
                    <w:r>
                      <w:rPr>
                        <w:rFonts w:hint="default" w:ascii="Nimbus Roman" w:hAnsi="Nimbus Roman" w:cs="Nimbus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default" w:ascii="Nimbus Roman" w:hAnsi="Nimbus Roman" w:cs="Nimbus Roman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9"/>
  <w:embedSystemFonts/>
  <w:bordersDoNotSurroundHeader w:val="false"/>
  <w:bordersDoNotSurroundFooter w:val="false"/>
  <w:documentProtection w:enforcement="0"/>
  <w:defaultTabStop w:val="420"/>
  <w:evenAndOddHeaders w:val="true"/>
  <w:drawingGridHorizontalSpacing w:val="158"/>
  <w:drawingGridVerticalSpacing w:val="290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0C3875"/>
    <w:rsid w:val="210F3A9C"/>
    <w:rsid w:val="47100EA4"/>
    <w:rsid w:val="61593D7A"/>
    <w:rsid w:val="73EF958D"/>
    <w:rsid w:val="7BCC8DD8"/>
    <w:rsid w:val="7FFFB687"/>
    <w:rsid w:val="BFED062F"/>
    <w:rsid w:val="DFFF31B5"/>
    <w:rsid w:val="F6DF8E44"/>
    <w:rsid w:val="FFFF1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0"/>
    </w:pPr>
    <w:rPr>
      <w:rFonts w:ascii="黑体" w:hAnsi="黑体" w:eastAsia="黑体" w:cs="黑体"/>
      <w:kern w:val="44"/>
      <w:sz w:val="32"/>
      <w:szCs w:val="32"/>
    </w:rPr>
  </w:style>
  <w:style w:type="paragraph" w:styleId="3">
    <w:name w:val="heading 2"/>
    <w:basedOn w:val="1"/>
    <w:next w:val="1"/>
    <w:link w:val="20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1"/>
    </w:pPr>
    <w:rPr>
      <w:rFonts w:ascii="Times New Roman" w:hAnsi="Times New Roman" w:eastAsia="楷体_GB2312" w:cs="楷体_GB2312"/>
      <w:sz w:val="32"/>
      <w:szCs w:val="32"/>
    </w:rPr>
  </w:style>
  <w:style w:type="paragraph" w:styleId="4">
    <w:name w:val="heading 3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2"/>
    </w:pPr>
    <w:rPr>
      <w:rFonts w:ascii="Times New Roman" w:hAnsi="Times New Roman" w:eastAsia="仿宋_GB2312" w:cs="仿宋_GB2312"/>
      <w:sz w:val="32"/>
      <w:szCs w:val="32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3"/>
    </w:pPr>
    <w:rPr>
      <w:rFonts w:ascii="Times New Roman" w:hAnsi="Times New Roman" w:eastAsia="仿宋_GB2312" w:cs="仿宋_GB2312"/>
      <w:sz w:val="32"/>
      <w:szCs w:val="32"/>
    </w:rPr>
  </w:style>
  <w:style w:type="paragraph" w:styleId="6">
    <w:name w:val="heading 5"/>
    <w:next w:val="1"/>
    <w:semiHidden/>
    <w:unhideWhenUsed/>
    <w:qFormat/>
    <w:uiPriority w:val="0"/>
    <w:pPr>
      <w:spacing w:line="560" w:lineRule="exact"/>
      <w:ind w:firstLine="894" w:firstLineChars="200"/>
      <w:outlineLvl w:val="4"/>
    </w:pPr>
    <w:rPr>
      <w:rFonts w:ascii="Times New Roman" w:hAnsi="Times New Roman" w:eastAsia="仿宋_GB2312" w:cs="仿宋_GB2312"/>
      <w:sz w:val="32"/>
      <w:szCs w:val="32"/>
    </w:rPr>
  </w:style>
  <w:style w:type="paragraph" w:styleId="7">
    <w:name w:val="heading 6"/>
    <w:next w:val="1"/>
    <w:semiHidden/>
    <w:unhideWhenUsed/>
    <w:qFormat/>
    <w:uiPriority w:val="0"/>
    <w:pPr>
      <w:spacing w:line="560" w:lineRule="exact"/>
      <w:ind w:firstLine="894" w:firstLineChars="200"/>
      <w:outlineLvl w:val="5"/>
    </w:pPr>
    <w:rPr>
      <w:rFonts w:ascii="Times New Roman" w:hAnsi="Times New Roman" w:eastAsia="仿宋_GB2312" w:cs="仿宋_GB2312"/>
      <w:sz w:val="32"/>
      <w:szCs w:val="32"/>
    </w:rPr>
  </w:style>
  <w:style w:type="paragraph" w:styleId="8">
    <w:name w:val="heading 7"/>
    <w:next w:val="1"/>
    <w:semiHidden/>
    <w:unhideWhenUsed/>
    <w:qFormat/>
    <w:uiPriority w:val="0"/>
    <w:pPr>
      <w:spacing w:line="560" w:lineRule="exact"/>
      <w:ind w:firstLine="894" w:firstLineChars="200"/>
      <w:outlineLvl w:val="6"/>
    </w:pPr>
    <w:rPr>
      <w:rFonts w:ascii="Times New Roman" w:hAnsi="Times New Roman" w:eastAsia="仿宋_GB2312" w:cs="仿宋_GB2312"/>
      <w:sz w:val="32"/>
      <w:szCs w:val="32"/>
    </w:rPr>
  </w:style>
  <w:style w:type="paragraph" w:styleId="9">
    <w:name w:val="heading 8"/>
    <w:next w:val="1"/>
    <w:semiHidden/>
    <w:unhideWhenUsed/>
    <w:qFormat/>
    <w:uiPriority w:val="0"/>
    <w:pPr>
      <w:spacing w:line="560" w:lineRule="exact"/>
      <w:ind w:firstLine="894" w:firstLineChars="200"/>
      <w:outlineLvl w:val="7"/>
    </w:pPr>
    <w:rPr>
      <w:rFonts w:ascii="Times New Roman" w:hAnsi="Times New Roman" w:eastAsia="仿宋_GB2312" w:cs="仿宋_GB2312"/>
      <w:sz w:val="32"/>
      <w:szCs w:val="32"/>
    </w:rPr>
  </w:style>
  <w:style w:type="paragraph" w:styleId="10">
    <w:name w:val="heading 9"/>
    <w:next w:val="1"/>
    <w:semiHidden/>
    <w:unhideWhenUsed/>
    <w:qFormat/>
    <w:uiPriority w:val="0"/>
    <w:pPr>
      <w:spacing w:line="560" w:lineRule="exact"/>
      <w:ind w:firstLine="894" w:firstLineChars="200"/>
      <w:outlineLvl w:val="8"/>
    </w:pPr>
    <w:rPr>
      <w:rFonts w:ascii="Times New Roman" w:hAnsi="Times New Roman" w:eastAsia="仿宋_GB2312" w:cs="仿宋_GB2312"/>
      <w:sz w:val="32"/>
      <w:szCs w:val="32"/>
    </w:rPr>
  </w:style>
  <w:style w:type="character" w:default="1" w:styleId="17">
    <w:name w:val="Default Paragraph Font"/>
    <w:semiHidden/>
    <w:qFormat/>
    <w:uiPriority w:val="0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qFormat/>
    <w:uiPriority w:val="0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Subtitle"/>
    <w:qFormat/>
    <w:uiPriority w:val="0"/>
    <w:pPr>
      <w:spacing w:beforeLines="0" w:beforeAutospacing="0" w:afterLines="0" w:afterAutospacing="0" w:line="720" w:lineRule="exact"/>
      <w:jc w:val="center"/>
      <w:outlineLvl w:val="9"/>
    </w:pPr>
    <w:rPr>
      <w:rFonts w:ascii="Times New Roman" w:hAnsi="Times New Roman" w:eastAsia="仿宋_GB2312" w:cs="仿宋_GB2312"/>
      <w:kern w:val="28"/>
      <w:sz w:val="32"/>
      <w:szCs w:val="32"/>
    </w:rPr>
  </w:style>
  <w:style w:type="paragraph" w:styleId="15">
    <w:name w:val="Title"/>
    <w:qFormat/>
    <w:uiPriority w:val="0"/>
    <w:pPr>
      <w:spacing w:line="720" w:lineRule="exact"/>
      <w:jc w:val="center"/>
      <w:outlineLvl w:val="9"/>
    </w:pPr>
    <w:rPr>
      <w:rFonts w:ascii="方正小标宋简体" w:hAnsi="方正小标宋简体" w:eastAsia="方正小标宋简体" w:cs="方正小标宋简体"/>
      <w:sz w:val="44"/>
      <w:szCs w:val="44"/>
    </w:rPr>
  </w:style>
  <w:style w:type="character" w:customStyle="1" w:styleId="18">
    <w:name w:val="标题 1 Char"/>
    <w:qFormat/>
    <w:uiPriority w:val="0"/>
    <w:rPr>
      <w:rFonts w:ascii="黑体" w:hAnsi="黑体" w:eastAsia="黑体" w:cs="黑体"/>
      <w:kern w:val="44"/>
      <w:sz w:val="32"/>
      <w:szCs w:val="32"/>
    </w:rPr>
  </w:style>
  <w:style w:type="paragraph" w:customStyle="1" w:styleId="19">
    <w:name w:val="主送对象"/>
    <w:next w:val="1"/>
    <w:qFormat/>
    <w:uiPriority w:val="0"/>
    <w:pPr>
      <w:spacing w:line="560" w:lineRule="exact"/>
    </w:pPr>
    <w:rPr>
      <w:rFonts w:ascii="Times New Roman" w:hAnsi="Times New Roman" w:eastAsia="仿宋_GB2312" w:cs="仿宋_GB2312"/>
      <w:sz w:val="32"/>
      <w:szCs w:val="32"/>
    </w:rPr>
  </w:style>
  <w:style w:type="character" w:customStyle="1" w:styleId="20">
    <w:name w:val="标题 2 Char"/>
    <w:link w:val="3"/>
    <w:qFormat/>
    <w:uiPriority w:val="0"/>
    <w:rPr>
      <w:rFonts w:ascii="Times New Roman" w:hAnsi="Times New Roman" w:eastAsia="楷体_GB2312" w:cs="楷体_GB231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1154</Words>
  <Characters>1159</Characters>
  <Lines>0</Lines>
  <Paragraphs>0</Paragraphs>
  <TotalTime>12</TotalTime>
  <ScaleCrop>false</ScaleCrop>
  <LinksUpToDate>false</LinksUpToDate>
  <CharactersWithSpaces>1159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2022-07-05T06:50:00Z</dcterms:created>
  <dc:creator>Admin</dc:creator>
  <cp:lastModifiedBy>administrator</cp:lastModifiedBy>
  <dcterms:modified xsi:type="dcterms:W3CDTF">2026-08-14T16:26:48Z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D3376AE35396609761704B6AF9CDB15D_43</vt:lpwstr>
  </property>
  <property fmtid="{D5CDD505-2E9C-101B-9397-08002B2CF9AE}" pid="4" name="KSOTemplateDocerSaveRecord">
    <vt:lpwstr>eyJoZGlkIjoiZWFmNzVkY2FiZjRlMDNhODNmNTNlNTExMDllYjQ1MTUiLCJ1c2VySWQiOiIxMjQzODc1NzE0In0=</vt:lpwstr>
  </property>
</Properties>
</file>