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659BF9">
      <w:pPr>
        <w:spacing w:after="360" w:line="600" w:lineRule="exact"/>
        <w:jc w:val="center"/>
        <w:rPr>
          <w:color w:val="auto"/>
          <w:lang w:eastAsia="zh-CN"/>
        </w:rPr>
      </w:pPr>
      <w:r>
        <w:rPr>
          <w:rFonts w:ascii="Times New Roman" w:hAnsi="Times New Roman" w:eastAsia="方正小标宋简体"/>
          <w:color w:val="auto"/>
          <w:sz w:val="44"/>
          <w:lang w:eastAsia="zh-CN"/>
        </w:rPr>
        <w:t>新乡市电动汽车充电基础设施建设运营管理</w:t>
      </w:r>
      <w:r>
        <w:rPr>
          <w:rFonts w:ascii="Times New Roman" w:hAnsi="Times New Roman" w:eastAsia="方正小标宋简体"/>
          <w:color w:val="auto"/>
          <w:sz w:val="44"/>
          <w:lang w:eastAsia="zh-CN"/>
        </w:rPr>
        <w:br w:type="textWrapping"/>
      </w:r>
      <w:r>
        <w:rPr>
          <w:rFonts w:ascii="Times New Roman" w:hAnsi="Times New Roman" w:eastAsia="方正小标宋简体"/>
          <w:color w:val="auto"/>
          <w:sz w:val="44"/>
          <w:lang w:eastAsia="zh-CN"/>
        </w:rPr>
        <w:t>暂行办法</w:t>
      </w:r>
    </w:p>
    <w:p w14:paraId="67E4E83E">
      <w:pPr>
        <w:spacing w:before="120" w:after="120" w:line="560" w:lineRule="exact"/>
        <w:jc w:val="center"/>
        <w:rPr>
          <w:color w:val="auto"/>
          <w:lang w:eastAsia="zh-CN"/>
        </w:rPr>
      </w:pPr>
      <w:r>
        <w:rPr>
          <w:rFonts w:ascii="Times New Roman" w:hAnsi="Times New Roman" w:eastAsia="黑体"/>
          <w:color w:val="auto"/>
          <w:sz w:val="32"/>
          <w:lang w:eastAsia="zh-CN"/>
        </w:rPr>
        <w:t>第一章　总　则</w:t>
      </w:r>
    </w:p>
    <w:p w14:paraId="28A31E7C">
      <w:pPr>
        <w:spacing w:after="0" w:line="560" w:lineRule="exact"/>
        <w:ind w:firstLine="640"/>
        <w:jc w:val="both"/>
        <w:rPr>
          <w:color w:val="auto"/>
          <w:lang w:eastAsia="zh-CN"/>
        </w:rPr>
      </w:pPr>
      <w:r>
        <w:rPr>
          <w:rFonts w:ascii="Times New Roman" w:hAnsi="Times New Roman" w:eastAsia="仿宋"/>
          <w:color w:val="auto"/>
          <w:sz w:val="32"/>
          <w:lang w:eastAsia="zh-CN"/>
        </w:rPr>
        <w:t>第一条　为规范本市电动汽车充电基础设施（以下简称充电基础设施）规划、建设、运营和管理，加快构建覆盖广泛、规模适度、结构合理、功能完善的高质量充电基础设施体系，促进电动汽车推广应用，助力实现碳达峰碳中和目标，根据《国务院办公厅关于进一步构建高质</w:t>
      </w:r>
      <w:bookmarkStart w:id="0" w:name="_GoBack"/>
      <w:bookmarkEnd w:id="0"/>
      <w:r>
        <w:rPr>
          <w:rFonts w:ascii="Times New Roman" w:hAnsi="Times New Roman" w:eastAsia="仿宋"/>
          <w:color w:val="auto"/>
          <w:sz w:val="32"/>
          <w:lang w:eastAsia="zh-CN"/>
        </w:rPr>
        <w:t>量充电基础设施体系的指导意见》（国办发〔2023〕19号）、《河南省人民政府办公厅关于印发河南省电动汽车充电基础设施建设运营管理暂行办法的通知》（豫政办〔2025〕43号）等文件精神，结合本市实际，制定本办法。</w:t>
      </w:r>
    </w:p>
    <w:p w14:paraId="4AAC195F">
      <w:pPr>
        <w:spacing w:after="0" w:line="560" w:lineRule="exact"/>
        <w:ind w:firstLine="640"/>
        <w:jc w:val="both"/>
        <w:rPr>
          <w:color w:val="auto"/>
          <w:lang w:eastAsia="zh-CN"/>
        </w:rPr>
      </w:pPr>
      <w:r>
        <w:rPr>
          <w:rFonts w:ascii="Times New Roman" w:hAnsi="Times New Roman" w:eastAsia="仿宋"/>
          <w:color w:val="auto"/>
          <w:sz w:val="32"/>
          <w:lang w:eastAsia="zh-CN"/>
        </w:rPr>
        <w:t>第二条　本办法所称充电基础设施，是指为电动汽车提供电能补给的相关设施总称，主要包括：</w:t>
      </w:r>
    </w:p>
    <w:p w14:paraId="742B37E0">
      <w:pPr>
        <w:spacing w:after="0" w:line="560" w:lineRule="exact"/>
        <w:ind w:firstLine="640"/>
        <w:jc w:val="both"/>
        <w:rPr>
          <w:color w:val="auto"/>
          <w:lang w:eastAsia="zh-CN"/>
        </w:rPr>
      </w:pPr>
      <w:r>
        <w:rPr>
          <w:rFonts w:ascii="Times New Roman" w:hAnsi="Times New Roman" w:eastAsia="仿宋"/>
          <w:color w:val="auto"/>
          <w:sz w:val="32"/>
          <w:lang w:eastAsia="zh-CN"/>
        </w:rPr>
        <w:t>（一）公用充电基础设施，即面向社会车辆提供有偿充电服务、开放经营的充电基础设施；</w:t>
      </w:r>
    </w:p>
    <w:p w14:paraId="095BFAE7">
      <w:pPr>
        <w:spacing w:after="0" w:line="560" w:lineRule="exact"/>
        <w:ind w:firstLine="640"/>
        <w:jc w:val="both"/>
        <w:rPr>
          <w:color w:val="auto"/>
          <w:lang w:eastAsia="zh-CN"/>
        </w:rPr>
      </w:pPr>
      <w:r>
        <w:rPr>
          <w:rFonts w:ascii="Times New Roman" w:hAnsi="Times New Roman" w:eastAsia="仿宋"/>
          <w:color w:val="auto"/>
          <w:sz w:val="32"/>
          <w:lang w:eastAsia="zh-CN"/>
        </w:rPr>
        <w:t>（二）专用充电基础设施，即为公交、客运、环卫、物流等公共服务领域车辆提供专属充电服务，以及在党政机关、企事业单位、居民区等场所建设、专为特定范围群体提供充电服务的充电基础设施；</w:t>
      </w:r>
    </w:p>
    <w:p w14:paraId="1A5BF706">
      <w:pPr>
        <w:spacing w:after="0" w:line="560" w:lineRule="exact"/>
        <w:ind w:firstLine="640"/>
        <w:jc w:val="both"/>
        <w:rPr>
          <w:color w:val="auto"/>
          <w:lang w:eastAsia="zh-CN"/>
        </w:rPr>
      </w:pPr>
      <w:r>
        <w:rPr>
          <w:rFonts w:ascii="Times New Roman" w:hAnsi="Times New Roman" w:eastAsia="仿宋"/>
          <w:color w:val="auto"/>
          <w:sz w:val="32"/>
          <w:lang w:eastAsia="zh-CN"/>
        </w:rPr>
        <w:t>（三）自用充电基础设施，是指在个人拥有所有权或使用权的固定停车位上建设的，专为个人电动汽车提供充电服务的充电基础设施。</w:t>
      </w:r>
    </w:p>
    <w:p w14:paraId="2DD68037">
      <w:pPr>
        <w:spacing w:after="0" w:line="560" w:lineRule="exact"/>
        <w:ind w:firstLine="640"/>
        <w:jc w:val="both"/>
        <w:rPr>
          <w:color w:val="auto"/>
          <w:lang w:eastAsia="zh-CN"/>
        </w:rPr>
      </w:pPr>
      <w:r>
        <w:rPr>
          <w:rFonts w:ascii="Times New Roman" w:hAnsi="Times New Roman" w:eastAsia="仿宋"/>
          <w:color w:val="auto"/>
          <w:sz w:val="32"/>
          <w:lang w:eastAsia="zh-CN"/>
        </w:rPr>
        <w:t>第三条　</w:t>
      </w:r>
      <w:r>
        <w:rPr>
          <w:rFonts w:hint="eastAsia" w:ascii="Times New Roman" w:hAnsi="Times New Roman" w:eastAsia="仿宋"/>
          <w:color w:val="auto"/>
          <w:sz w:val="32"/>
          <w:lang w:eastAsia="zh-CN"/>
        </w:rPr>
        <w:t>全市光储充一体化充电配套设施</w:t>
      </w:r>
      <w:r>
        <w:rPr>
          <w:rFonts w:ascii="Times New Roman" w:hAnsi="Times New Roman" w:eastAsia="仿宋"/>
          <w:color w:val="auto"/>
          <w:sz w:val="32"/>
          <w:lang w:eastAsia="zh-CN"/>
        </w:rPr>
        <w:t>按照统一规划、统一运营、有序建设的总体目标，示范先行，先急后缓的总体要求</w:t>
      </w:r>
      <w:r>
        <w:rPr>
          <w:rFonts w:hint="eastAsia" w:ascii="Times New Roman" w:hAnsi="Times New Roman" w:eastAsia="仿宋"/>
          <w:color w:val="auto"/>
          <w:sz w:val="32"/>
          <w:lang w:eastAsia="zh-CN"/>
        </w:rPr>
        <w:t>，</w:t>
      </w:r>
      <w:r>
        <w:rPr>
          <w:rFonts w:ascii="Times New Roman" w:hAnsi="Times New Roman" w:eastAsia="仿宋"/>
          <w:color w:val="auto"/>
          <w:sz w:val="32"/>
          <w:lang w:eastAsia="zh-CN"/>
        </w:rPr>
        <w:t>本市行政区域内充电基础设施的规划、建设、运营和监督管理等活动，适用本办法。</w:t>
      </w:r>
    </w:p>
    <w:p w14:paraId="6E0C9EDA">
      <w:pPr>
        <w:spacing w:after="0" w:line="560" w:lineRule="exact"/>
        <w:ind w:firstLine="640"/>
        <w:jc w:val="both"/>
        <w:rPr>
          <w:color w:val="auto"/>
          <w:lang w:eastAsia="zh-CN"/>
        </w:rPr>
      </w:pPr>
      <w:r>
        <w:rPr>
          <w:rFonts w:ascii="Times New Roman" w:hAnsi="Times New Roman" w:eastAsia="仿宋"/>
          <w:color w:val="auto"/>
          <w:sz w:val="32"/>
          <w:lang w:eastAsia="zh-CN"/>
        </w:rPr>
        <w:t>第四条　本市公用、专用充电基础设施应当按照</w:t>
      </w:r>
      <w:r>
        <w:rPr>
          <w:rFonts w:hint="eastAsia" w:ascii="Times New Roman" w:hAnsi="Times New Roman" w:eastAsia="仿宋"/>
          <w:color w:val="auto"/>
          <w:sz w:val="32"/>
          <w:lang w:eastAsia="zh-CN"/>
        </w:rPr>
        <w:t>有关</w:t>
      </w:r>
      <w:r>
        <w:rPr>
          <w:rFonts w:ascii="Times New Roman" w:hAnsi="Times New Roman" w:eastAsia="仿宋"/>
          <w:color w:val="auto"/>
          <w:sz w:val="32"/>
          <w:lang w:eastAsia="zh-CN"/>
        </w:rPr>
        <w:t>规定全部接入新乡市智能充电管理服务平台，实现静态数据和动态数据互联互通，为规划布局、监测监管、信息发布和充电找桩提供支撑。</w:t>
      </w:r>
    </w:p>
    <w:p w14:paraId="0BCB9124">
      <w:pPr>
        <w:spacing w:before="120" w:after="120" w:line="560" w:lineRule="exact"/>
        <w:jc w:val="center"/>
        <w:rPr>
          <w:color w:val="auto"/>
          <w:lang w:eastAsia="zh-CN"/>
        </w:rPr>
      </w:pPr>
      <w:r>
        <w:rPr>
          <w:rFonts w:ascii="Times New Roman" w:hAnsi="Times New Roman" w:eastAsia="黑体"/>
          <w:color w:val="auto"/>
          <w:sz w:val="32"/>
          <w:lang w:eastAsia="zh-CN"/>
        </w:rPr>
        <w:t>第二章　职责分工</w:t>
      </w:r>
    </w:p>
    <w:p w14:paraId="69E6FEC7">
      <w:pPr>
        <w:spacing w:after="0" w:line="560" w:lineRule="exact"/>
        <w:ind w:firstLine="640"/>
        <w:jc w:val="both"/>
        <w:rPr>
          <w:color w:val="auto"/>
          <w:lang w:eastAsia="zh-CN"/>
        </w:rPr>
      </w:pPr>
      <w:r>
        <w:rPr>
          <w:rFonts w:ascii="Times New Roman" w:hAnsi="Times New Roman" w:eastAsia="仿宋"/>
          <w:color w:val="auto"/>
          <w:sz w:val="32"/>
          <w:lang w:eastAsia="zh-CN"/>
        </w:rPr>
        <w:t>第五条　市住建局牵头统筹推进全市充电基础设施建设运营管理，协调解决充电基础设施建设运营管理中的有关重大问题。各县（市）区政府及平原示范区、高新区、经开区管委会承担属地主体责任，各相关单位按照职责分工协同推进充电基础设施建设运营工作，具体分工如下：</w:t>
      </w:r>
    </w:p>
    <w:p w14:paraId="72A599B1">
      <w:pPr>
        <w:spacing w:after="0" w:line="560" w:lineRule="exact"/>
        <w:ind w:firstLine="640"/>
        <w:jc w:val="both"/>
        <w:rPr>
          <w:rFonts w:ascii="Times New Roman" w:hAnsi="Times New Roman" w:eastAsia="仿宋"/>
          <w:color w:val="auto"/>
          <w:sz w:val="32"/>
          <w:lang w:eastAsia="zh-CN"/>
        </w:rPr>
      </w:pPr>
      <w:r>
        <w:rPr>
          <w:rFonts w:ascii="Times New Roman" w:hAnsi="Times New Roman" w:eastAsia="仿宋"/>
          <w:color w:val="auto"/>
          <w:sz w:val="32"/>
          <w:lang w:eastAsia="zh-CN"/>
        </w:rPr>
        <w:t>（一）市自然资源规划局牵头负责充电基础设施用地保障和规划编制，负责新建住宅配建停车位、社会公共停车场等充电基础设施或预留安装条件的规划审批和验收。</w:t>
      </w:r>
    </w:p>
    <w:p w14:paraId="4ED57BB2">
      <w:pPr>
        <w:spacing w:after="0" w:line="560" w:lineRule="exact"/>
        <w:ind w:firstLine="640"/>
        <w:jc w:val="both"/>
        <w:rPr>
          <w:rFonts w:ascii="Times New Roman" w:hAnsi="Times New Roman" w:eastAsia="仿宋"/>
          <w:color w:val="auto"/>
          <w:sz w:val="32"/>
          <w:lang w:eastAsia="zh-CN"/>
        </w:rPr>
      </w:pPr>
      <w:r>
        <w:rPr>
          <w:rFonts w:ascii="Times New Roman" w:hAnsi="Times New Roman" w:eastAsia="仿宋"/>
          <w:color w:val="auto"/>
          <w:sz w:val="32"/>
          <w:lang w:eastAsia="zh-CN"/>
        </w:rPr>
        <w:t>（二）市住建局牵头负责推进居民住宅小区充电基础设施建设，督促物业服务企业加强充电基础设施安全管理工作。</w:t>
      </w:r>
    </w:p>
    <w:p w14:paraId="38E36828">
      <w:pPr>
        <w:spacing w:after="0" w:line="560" w:lineRule="exact"/>
        <w:ind w:firstLine="640"/>
        <w:jc w:val="both"/>
        <w:rPr>
          <w:rFonts w:ascii="Times New Roman" w:hAnsi="Times New Roman" w:eastAsia="仿宋"/>
          <w:color w:val="auto"/>
          <w:sz w:val="32"/>
          <w:lang w:eastAsia="zh-CN"/>
        </w:rPr>
      </w:pPr>
      <w:r>
        <w:rPr>
          <w:rFonts w:ascii="Times New Roman" w:hAnsi="Times New Roman" w:eastAsia="仿宋"/>
          <w:color w:val="auto"/>
          <w:sz w:val="32"/>
          <w:lang w:eastAsia="zh-CN"/>
        </w:rPr>
        <w:t>（三）市交通运输局牵头负责市属国省干道公路沿线及服务区充电基础设施的</w:t>
      </w:r>
      <w:r>
        <w:rPr>
          <w:rFonts w:hint="eastAsia" w:ascii="Times New Roman" w:hAnsi="Times New Roman" w:eastAsia="仿宋"/>
          <w:color w:val="auto"/>
          <w:sz w:val="32"/>
          <w:lang w:eastAsia="zh-CN"/>
        </w:rPr>
        <w:t>规划</w:t>
      </w:r>
      <w:r>
        <w:rPr>
          <w:rFonts w:ascii="Times New Roman" w:hAnsi="Times New Roman" w:eastAsia="仿宋"/>
          <w:color w:val="auto"/>
          <w:sz w:val="32"/>
          <w:lang w:eastAsia="zh-CN"/>
        </w:rPr>
        <w:t>管理工作。</w:t>
      </w:r>
    </w:p>
    <w:p w14:paraId="62F54EDF">
      <w:pPr>
        <w:spacing w:after="0" w:line="560" w:lineRule="exact"/>
        <w:ind w:firstLine="640"/>
        <w:jc w:val="both"/>
        <w:rPr>
          <w:rFonts w:ascii="Times New Roman" w:hAnsi="Times New Roman" w:eastAsia="仿宋"/>
          <w:color w:val="auto"/>
          <w:sz w:val="32"/>
          <w:lang w:eastAsia="zh-CN"/>
        </w:rPr>
      </w:pPr>
      <w:r>
        <w:rPr>
          <w:rFonts w:ascii="Times New Roman" w:hAnsi="Times New Roman" w:eastAsia="仿宋"/>
          <w:color w:val="auto"/>
          <w:sz w:val="32"/>
          <w:lang w:eastAsia="zh-CN"/>
        </w:rPr>
        <w:t>（四）市城管局牵头负责全市</w:t>
      </w:r>
      <w:r>
        <w:rPr>
          <w:rFonts w:hint="eastAsia" w:ascii="Times New Roman" w:hAnsi="Times New Roman" w:eastAsia="仿宋"/>
          <w:color w:val="auto"/>
          <w:sz w:val="32"/>
          <w:lang w:eastAsia="zh-CN"/>
        </w:rPr>
        <w:t>充电</w:t>
      </w:r>
      <w:r>
        <w:rPr>
          <w:rFonts w:ascii="Times New Roman" w:hAnsi="Times New Roman" w:eastAsia="仿宋"/>
          <w:color w:val="auto"/>
          <w:sz w:val="32"/>
          <w:lang w:eastAsia="zh-CN"/>
        </w:rPr>
        <w:t>站的建设安全管理，督促指导大型公共建筑物停车场、社会公共停车场等公用充电基础设施的建设和安全管理，并协调环卫、加气站等管理行业内的充电基础设施建设和安全管理。</w:t>
      </w:r>
    </w:p>
    <w:p w14:paraId="63B8B871">
      <w:pPr>
        <w:spacing w:after="0" w:line="560" w:lineRule="exact"/>
        <w:ind w:firstLine="640"/>
        <w:jc w:val="both"/>
        <w:rPr>
          <w:rFonts w:ascii="Times New Roman" w:hAnsi="Times New Roman" w:eastAsia="仿宋"/>
          <w:color w:val="auto"/>
          <w:sz w:val="32"/>
          <w:lang w:eastAsia="zh-CN"/>
        </w:rPr>
      </w:pPr>
      <w:r>
        <w:rPr>
          <w:rFonts w:ascii="Times New Roman" w:hAnsi="Times New Roman" w:eastAsia="仿宋"/>
          <w:color w:val="auto"/>
          <w:sz w:val="32"/>
          <w:lang w:eastAsia="zh-CN"/>
        </w:rPr>
        <w:t>（五）市市场监管局牵头负责核发充电基础设施运营企业营业执照，进行充电基础设施计量强制检定和产品质量安全监督管理。</w:t>
      </w:r>
    </w:p>
    <w:p w14:paraId="292235F9">
      <w:pPr>
        <w:spacing w:after="0" w:line="560" w:lineRule="exact"/>
        <w:ind w:firstLine="640"/>
        <w:jc w:val="both"/>
        <w:rPr>
          <w:rFonts w:ascii="Times New Roman" w:hAnsi="Times New Roman" w:eastAsia="仿宋"/>
          <w:color w:val="auto"/>
          <w:sz w:val="32"/>
          <w:lang w:eastAsia="zh-CN"/>
        </w:rPr>
      </w:pPr>
      <w:r>
        <w:rPr>
          <w:rFonts w:ascii="Times New Roman" w:hAnsi="Times New Roman" w:eastAsia="仿宋"/>
          <w:color w:val="auto"/>
          <w:sz w:val="32"/>
          <w:lang w:eastAsia="zh-CN"/>
        </w:rPr>
        <w:t>（六）市发展改革委会同相关行业主管部门研究编制相关支持政策文件，协调推进充电基础设施配套电网的规划建设等。</w:t>
      </w:r>
    </w:p>
    <w:p w14:paraId="6146504C">
      <w:pPr>
        <w:spacing w:after="0" w:line="560" w:lineRule="exact"/>
        <w:ind w:firstLine="640"/>
        <w:jc w:val="both"/>
        <w:rPr>
          <w:rFonts w:ascii="Times New Roman" w:hAnsi="Times New Roman" w:eastAsia="仿宋"/>
          <w:color w:val="auto"/>
          <w:sz w:val="32"/>
          <w:lang w:eastAsia="zh-CN"/>
        </w:rPr>
      </w:pPr>
      <w:r>
        <w:rPr>
          <w:rFonts w:ascii="Times New Roman" w:hAnsi="Times New Roman" w:eastAsia="仿宋"/>
          <w:color w:val="auto"/>
          <w:sz w:val="32"/>
          <w:lang w:eastAsia="zh-CN"/>
        </w:rPr>
        <w:t>（七）市财政局牵头负责贯彻落实省级相关充电基础设施建设运营奖补政策。</w:t>
      </w:r>
    </w:p>
    <w:p w14:paraId="7F4A5478">
      <w:pPr>
        <w:spacing w:after="0" w:line="560" w:lineRule="exact"/>
        <w:ind w:firstLine="640"/>
        <w:jc w:val="both"/>
        <w:rPr>
          <w:rFonts w:ascii="Times New Roman" w:hAnsi="Times New Roman" w:eastAsia="仿宋"/>
          <w:color w:val="auto"/>
          <w:sz w:val="32"/>
          <w:lang w:eastAsia="zh-CN"/>
        </w:rPr>
      </w:pPr>
      <w:r>
        <w:rPr>
          <w:rFonts w:ascii="Times New Roman" w:hAnsi="Times New Roman" w:eastAsia="仿宋"/>
          <w:color w:val="auto"/>
          <w:sz w:val="32"/>
          <w:lang w:eastAsia="zh-CN"/>
        </w:rPr>
        <w:t>（八）市机关事务中心牵头负责督促指导党政机关、事业单位、群团组织的充电基础设施建设和安全管理。</w:t>
      </w:r>
    </w:p>
    <w:p w14:paraId="36454F8A">
      <w:pPr>
        <w:spacing w:after="0" w:line="560" w:lineRule="exact"/>
        <w:ind w:firstLine="640"/>
        <w:jc w:val="both"/>
        <w:rPr>
          <w:rFonts w:ascii="Times New Roman" w:hAnsi="Times New Roman" w:eastAsia="仿宋"/>
          <w:color w:val="auto"/>
          <w:sz w:val="32"/>
          <w:lang w:eastAsia="zh-CN"/>
        </w:rPr>
      </w:pPr>
      <w:r>
        <w:rPr>
          <w:rFonts w:ascii="Times New Roman" w:hAnsi="Times New Roman" w:eastAsia="仿宋"/>
          <w:color w:val="auto"/>
          <w:sz w:val="32"/>
          <w:lang w:eastAsia="zh-CN"/>
        </w:rPr>
        <w:t>（九）市文化广电旅游局牵头负责旅游景区内充电基础设施的建设和安全管理。</w:t>
      </w:r>
    </w:p>
    <w:p w14:paraId="03A5EF1A">
      <w:pPr>
        <w:spacing w:after="0" w:line="560" w:lineRule="exact"/>
        <w:ind w:firstLine="640"/>
        <w:jc w:val="both"/>
        <w:rPr>
          <w:rFonts w:ascii="Times New Roman" w:hAnsi="Times New Roman" w:eastAsia="仿宋"/>
          <w:color w:val="auto"/>
          <w:sz w:val="32"/>
          <w:lang w:eastAsia="zh-CN"/>
        </w:rPr>
      </w:pPr>
      <w:r>
        <w:rPr>
          <w:rFonts w:ascii="Times New Roman" w:hAnsi="Times New Roman" w:eastAsia="仿宋"/>
          <w:color w:val="auto"/>
          <w:sz w:val="32"/>
          <w:lang w:eastAsia="zh-CN"/>
        </w:rPr>
        <w:t>（十）市</w:t>
      </w:r>
      <w:r>
        <w:rPr>
          <w:rFonts w:hint="eastAsia" w:ascii="Times New Roman" w:hAnsi="Times New Roman" w:eastAsia="仿宋"/>
          <w:color w:val="auto"/>
          <w:sz w:val="32"/>
          <w:lang w:eastAsia="zh-CN"/>
        </w:rPr>
        <w:t>投资集团</w:t>
      </w:r>
      <w:r>
        <w:rPr>
          <w:rFonts w:ascii="Times New Roman" w:hAnsi="Times New Roman" w:eastAsia="仿宋"/>
          <w:color w:val="auto"/>
          <w:sz w:val="32"/>
          <w:lang w:eastAsia="zh-CN"/>
        </w:rPr>
        <w:t>负责</w:t>
      </w:r>
      <w:r>
        <w:rPr>
          <w:rFonts w:hint="eastAsia" w:ascii="Times New Roman" w:hAnsi="Times New Roman" w:eastAsia="仿宋"/>
          <w:color w:val="auto"/>
          <w:sz w:val="32"/>
          <w:lang w:eastAsia="zh-CN"/>
        </w:rPr>
        <w:t>统筹</w:t>
      </w:r>
      <w:r>
        <w:rPr>
          <w:rFonts w:ascii="Times New Roman" w:hAnsi="Times New Roman" w:eastAsia="仿宋"/>
          <w:color w:val="auto"/>
          <w:sz w:val="32"/>
          <w:lang w:eastAsia="zh-CN"/>
        </w:rPr>
        <w:t>推进充电基础设施</w:t>
      </w:r>
      <w:r>
        <w:rPr>
          <w:rFonts w:hint="eastAsia" w:ascii="Times New Roman" w:hAnsi="Times New Roman" w:eastAsia="仿宋"/>
          <w:color w:val="auto"/>
          <w:sz w:val="32"/>
          <w:lang w:eastAsia="zh-CN"/>
        </w:rPr>
        <w:t>、示范站点、新乡市智能充电管理服务平台的</w:t>
      </w:r>
      <w:r>
        <w:rPr>
          <w:rFonts w:ascii="Times New Roman" w:hAnsi="Times New Roman" w:eastAsia="仿宋"/>
          <w:color w:val="auto"/>
          <w:sz w:val="32"/>
          <w:lang w:eastAsia="zh-CN"/>
        </w:rPr>
        <w:t>建设和</w:t>
      </w:r>
      <w:r>
        <w:rPr>
          <w:rFonts w:hint="eastAsia" w:ascii="Times New Roman" w:hAnsi="Times New Roman" w:eastAsia="仿宋"/>
          <w:color w:val="auto"/>
          <w:sz w:val="32"/>
          <w:lang w:eastAsia="zh-CN"/>
        </w:rPr>
        <w:t>运营</w:t>
      </w:r>
      <w:r>
        <w:rPr>
          <w:rFonts w:ascii="Times New Roman" w:hAnsi="Times New Roman" w:eastAsia="仿宋"/>
          <w:color w:val="auto"/>
          <w:sz w:val="32"/>
          <w:lang w:eastAsia="zh-CN"/>
        </w:rPr>
        <w:t>管理</w:t>
      </w:r>
      <w:r>
        <w:rPr>
          <w:rFonts w:hint="eastAsia" w:ascii="Times New Roman" w:hAnsi="Times New Roman" w:eastAsia="仿宋"/>
          <w:color w:val="auto"/>
          <w:sz w:val="32"/>
          <w:lang w:eastAsia="zh-CN"/>
        </w:rPr>
        <w:t>，打造新乡市充电基础设施“一张网”</w:t>
      </w:r>
      <w:r>
        <w:rPr>
          <w:rFonts w:ascii="Times New Roman" w:hAnsi="Times New Roman" w:eastAsia="仿宋"/>
          <w:color w:val="auto"/>
          <w:sz w:val="32"/>
          <w:lang w:eastAsia="zh-CN"/>
        </w:rPr>
        <w:t>。</w:t>
      </w:r>
    </w:p>
    <w:p w14:paraId="5666C622">
      <w:pPr>
        <w:spacing w:after="0" w:line="560" w:lineRule="exact"/>
        <w:ind w:firstLine="640"/>
        <w:jc w:val="both"/>
        <w:rPr>
          <w:rFonts w:ascii="Times New Roman" w:hAnsi="Times New Roman" w:eastAsia="仿宋"/>
          <w:color w:val="auto"/>
          <w:sz w:val="32"/>
          <w:lang w:eastAsia="zh-CN"/>
        </w:rPr>
      </w:pPr>
      <w:r>
        <w:rPr>
          <w:rFonts w:ascii="Times New Roman" w:hAnsi="Times New Roman" w:eastAsia="仿宋"/>
          <w:color w:val="auto"/>
          <w:sz w:val="32"/>
          <w:lang w:eastAsia="zh-CN"/>
        </w:rPr>
        <w:t>（十一）市商务局牵头负责协调加油站等管理行业内的充电基础设施建设管理工作。</w:t>
      </w:r>
    </w:p>
    <w:p w14:paraId="6A28D9C3">
      <w:pPr>
        <w:spacing w:after="0" w:line="560" w:lineRule="exact"/>
        <w:ind w:firstLine="640"/>
        <w:jc w:val="both"/>
        <w:rPr>
          <w:rFonts w:ascii="Times New Roman" w:hAnsi="Times New Roman" w:eastAsia="仿宋"/>
          <w:color w:val="auto"/>
          <w:sz w:val="32"/>
          <w:lang w:eastAsia="zh-CN"/>
        </w:rPr>
      </w:pPr>
      <w:r>
        <w:rPr>
          <w:rFonts w:ascii="Times New Roman" w:hAnsi="Times New Roman" w:eastAsia="仿宋"/>
          <w:color w:val="auto"/>
          <w:sz w:val="32"/>
          <w:lang w:eastAsia="zh-CN"/>
        </w:rPr>
        <w:t>（十二）市农业农村局牵头负责协调推动乡镇地区充电基础设施建设管理工作。</w:t>
      </w:r>
    </w:p>
    <w:p w14:paraId="022BDEB2">
      <w:pPr>
        <w:spacing w:after="0" w:line="560" w:lineRule="exact"/>
        <w:ind w:firstLine="640"/>
        <w:jc w:val="both"/>
        <w:rPr>
          <w:rFonts w:ascii="Times New Roman" w:hAnsi="Times New Roman" w:eastAsia="仿宋"/>
          <w:color w:val="auto"/>
          <w:sz w:val="32"/>
          <w:lang w:eastAsia="zh-CN"/>
        </w:rPr>
      </w:pPr>
      <w:r>
        <w:rPr>
          <w:rFonts w:ascii="Times New Roman" w:hAnsi="Times New Roman" w:eastAsia="仿宋"/>
          <w:color w:val="auto"/>
          <w:sz w:val="32"/>
          <w:lang w:eastAsia="zh-CN"/>
        </w:rPr>
        <w:t>（十三）市应急局牵头负责加强安全生产综合监管，依法对充电基础设施建设运营过程中的安全事故进行调查处理和责任追究。</w:t>
      </w:r>
    </w:p>
    <w:p w14:paraId="7DA1C754">
      <w:pPr>
        <w:spacing w:after="0" w:line="560" w:lineRule="exact"/>
        <w:ind w:firstLine="640"/>
        <w:jc w:val="both"/>
        <w:rPr>
          <w:rFonts w:ascii="Times New Roman" w:hAnsi="Times New Roman" w:eastAsia="仿宋"/>
          <w:color w:val="auto"/>
          <w:sz w:val="32"/>
          <w:lang w:eastAsia="zh-CN"/>
        </w:rPr>
      </w:pPr>
      <w:r>
        <w:rPr>
          <w:rFonts w:ascii="Times New Roman" w:hAnsi="Times New Roman" w:eastAsia="仿宋"/>
          <w:color w:val="auto"/>
          <w:sz w:val="32"/>
          <w:lang w:eastAsia="zh-CN"/>
        </w:rPr>
        <w:t>（十四）市消防救援支队牵头负责加强充电场所的消防监督检查，督促整改火灾隐患。</w:t>
      </w:r>
    </w:p>
    <w:p w14:paraId="64855728">
      <w:pPr>
        <w:spacing w:after="0" w:line="560" w:lineRule="exact"/>
        <w:ind w:firstLine="640"/>
        <w:jc w:val="both"/>
        <w:rPr>
          <w:rFonts w:ascii="宋体" w:hAnsi="宋体" w:eastAsia="宋体"/>
          <w:color w:val="auto"/>
          <w:sz w:val="27"/>
          <w:szCs w:val="27"/>
          <w:lang w:eastAsia="zh-CN"/>
        </w:rPr>
      </w:pPr>
      <w:r>
        <w:rPr>
          <w:rFonts w:ascii="Times New Roman" w:hAnsi="Times New Roman" w:eastAsia="仿宋"/>
          <w:color w:val="auto"/>
          <w:sz w:val="32"/>
          <w:lang w:eastAsia="zh-CN"/>
        </w:rPr>
        <w:t>（十五）电力部门负责建设、运行和维护充电基础设施产权分界点至电网的配套接网工程，并配合做好充电桩并网接入及充电站电量统计工作。</w:t>
      </w:r>
    </w:p>
    <w:p w14:paraId="544F597C">
      <w:pPr>
        <w:spacing w:after="0" w:line="560" w:lineRule="exact"/>
        <w:ind w:firstLine="640"/>
        <w:jc w:val="both"/>
        <w:rPr>
          <w:color w:val="auto"/>
          <w:lang w:eastAsia="zh-CN"/>
        </w:rPr>
      </w:pPr>
      <w:r>
        <w:rPr>
          <w:rFonts w:ascii="Times New Roman" w:hAnsi="Times New Roman" w:eastAsia="仿宋"/>
          <w:color w:val="auto"/>
          <w:sz w:val="32"/>
          <w:lang w:eastAsia="zh-CN"/>
        </w:rPr>
        <w:t>第六条　各县（市）区人民政府，平原城乡一体化示范区、新乡高新技术产业开发区、新乡经济技术开发区管委会承担属地管理主体责任，应当建立健全联合推进工作机制，将充电基础设施安全管理纳入基层网格化管理，及时协调解决建设运营中的问题。</w:t>
      </w:r>
    </w:p>
    <w:p w14:paraId="5AB1DBF5">
      <w:pPr>
        <w:spacing w:after="0" w:line="560" w:lineRule="exact"/>
        <w:ind w:firstLine="640"/>
        <w:jc w:val="both"/>
        <w:rPr>
          <w:color w:val="auto"/>
          <w:lang w:eastAsia="zh-CN"/>
        </w:rPr>
      </w:pPr>
      <w:r>
        <w:rPr>
          <w:rFonts w:ascii="Times New Roman" w:hAnsi="Times New Roman" w:eastAsia="仿宋"/>
          <w:color w:val="auto"/>
          <w:sz w:val="32"/>
          <w:lang w:eastAsia="zh-CN"/>
        </w:rPr>
        <w:t>第七条　充电基础设施相关行业协会应当加强行业自律，制定行业服务规范，开展政策宣传、信息交流和培训咨询，引导会员规范经营、诚信服务。</w:t>
      </w:r>
    </w:p>
    <w:p w14:paraId="43E55500">
      <w:pPr>
        <w:spacing w:before="120" w:after="120" w:line="560" w:lineRule="exact"/>
        <w:jc w:val="center"/>
        <w:rPr>
          <w:color w:val="auto"/>
          <w:lang w:eastAsia="zh-CN"/>
        </w:rPr>
      </w:pPr>
      <w:r>
        <w:rPr>
          <w:rFonts w:ascii="Times New Roman" w:hAnsi="Times New Roman" w:eastAsia="黑体"/>
          <w:color w:val="auto"/>
          <w:sz w:val="32"/>
          <w:lang w:eastAsia="zh-CN"/>
        </w:rPr>
        <w:t>第三章　规划管理</w:t>
      </w:r>
    </w:p>
    <w:p w14:paraId="1D72679E">
      <w:pPr>
        <w:spacing w:after="0" w:line="560" w:lineRule="exact"/>
        <w:ind w:firstLine="640"/>
        <w:jc w:val="both"/>
        <w:rPr>
          <w:color w:val="auto"/>
          <w:highlight w:val="red"/>
          <w:lang w:eastAsia="zh-CN"/>
        </w:rPr>
      </w:pPr>
      <w:r>
        <w:rPr>
          <w:rFonts w:ascii="Times New Roman" w:hAnsi="Times New Roman" w:eastAsia="仿宋"/>
          <w:color w:val="auto"/>
          <w:sz w:val="32"/>
          <w:lang w:eastAsia="zh-CN"/>
        </w:rPr>
        <w:t>第</w:t>
      </w:r>
      <w:r>
        <w:rPr>
          <w:rFonts w:hint="eastAsia" w:ascii="Times New Roman" w:hAnsi="Times New Roman" w:eastAsia="仿宋"/>
          <w:color w:val="auto"/>
          <w:sz w:val="32"/>
          <w:lang w:eastAsia="zh-CN"/>
        </w:rPr>
        <w:t>八</w:t>
      </w:r>
      <w:r>
        <w:rPr>
          <w:rFonts w:ascii="Times New Roman" w:hAnsi="Times New Roman" w:eastAsia="仿宋"/>
          <w:color w:val="auto"/>
          <w:sz w:val="32"/>
          <w:lang w:eastAsia="zh-CN"/>
        </w:rPr>
        <w:t>条　编制充电基础设施规划应当遵循适度超前，科学布局的原则</w:t>
      </w:r>
      <w:r>
        <w:rPr>
          <w:rFonts w:hint="eastAsia" w:ascii="Times New Roman" w:hAnsi="Times New Roman" w:eastAsia="仿宋"/>
          <w:color w:val="auto"/>
          <w:sz w:val="32"/>
          <w:lang w:eastAsia="zh-CN"/>
        </w:rPr>
        <w:t>。</w:t>
      </w:r>
      <w:r>
        <w:rPr>
          <w:rFonts w:ascii="Times New Roman" w:hAnsi="Times New Roman" w:eastAsia="仿宋"/>
          <w:color w:val="auto"/>
          <w:sz w:val="32"/>
          <w:lang w:eastAsia="zh-CN"/>
        </w:rPr>
        <w:t>市发改委、市住建局会同市自然资源规划局、市投资集团编制市级充电基础设施专项规划，报市人民政府批准后实施。专项规划应当符合国土空间总体规划和省级充电基础设施发展规划，与电力、交通、新能源汽车发展等专项规划充分衔接，主要内容纳入国土空间详细规划，并定期评估、动态调整。</w:t>
      </w:r>
    </w:p>
    <w:p w14:paraId="1A17B938">
      <w:pPr>
        <w:spacing w:after="0" w:line="560" w:lineRule="exact"/>
        <w:ind w:firstLine="640"/>
        <w:jc w:val="both"/>
        <w:rPr>
          <w:color w:val="auto"/>
          <w:lang w:eastAsia="zh-CN"/>
        </w:rPr>
      </w:pPr>
      <w:r>
        <w:rPr>
          <w:rFonts w:ascii="Times New Roman" w:hAnsi="Times New Roman" w:eastAsia="仿宋"/>
          <w:color w:val="auto"/>
          <w:sz w:val="32"/>
          <w:lang w:eastAsia="zh-CN"/>
        </w:rPr>
        <w:t>第</w:t>
      </w:r>
      <w:r>
        <w:rPr>
          <w:rFonts w:hint="eastAsia" w:ascii="Times New Roman" w:hAnsi="Times New Roman" w:eastAsia="仿宋"/>
          <w:color w:val="auto"/>
          <w:sz w:val="32"/>
          <w:lang w:eastAsia="zh-CN"/>
        </w:rPr>
        <w:t>九</w:t>
      </w:r>
      <w:r>
        <w:rPr>
          <w:rFonts w:ascii="Times New Roman" w:hAnsi="Times New Roman" w:eastAsia="仿宋"/>
          <w:color w:val="auto"/>
          <w:sz w:val="32"/>
          <w:lang w:eastAsia="zh-CN"/>
        </w:rPr>
        <w:t>条　充电基础设施规划建设应当坚持因地制宜、分类施策：</w:t>
      </w:r>
    </w:p>
    <w:p w14:paraId="27FE7A7B">
      <w:pPr>
        <w:spacing w:after="0" w:line="560" w:lineRule="exact"/>
        <w:ind w:firstLine="640"/>
        <w:jc w:val="both"/>
        <w:rPr>
          <w:color w:val="auto"/>
          <w:lang w:eastAsia="zh-CN"/>
        </w:rPr>
      </w:pPr>
      <w:r>
        <w:rPr>
          <w:rFonts w:ascii="Times New Roman" w:hAnsi="Times New Roman" w:eastAsia="仿宋"/>
          <w:color w:val="auto"/>
          <w:sz w:val="32"/>
          <w:lang w:eastAsia="zh-CN"/>
        </w:rPr>
        <w:t>（一）在居民区建设以慢充为主、快充为辅的充电基础设施；新建住宅项目固定车位应当按照规定比例配建充电基础设施或者预留安装条件，满足直接装表接电需要；</w:t>
      </w:r>
    </w:p>
    <w:p w14:paraId="60F6AD0F">
      <w:pPr>
        <w:spacing w:after="0" w:line="560" w:lineRule="exact"/>
        <w:ind w:firstLine="640"/>
        <w:jc w:val="both"/>
        <w:rPr>
          <w:color w:val="auto"/>
          <w:lang w:eastAsia="zh-CN"/>
        </w:rPr>
      </w:pPr>
      <w:r>
        <w:rPr>
          <w:rFonts w:ascii="Times New Roman" w:hAnsi="Times New Roman" w:eastAsia="仿宋"/>
          <w:color w:val="auto"/>
          <w:sz w:val="32"/>
          <w:lang w:eastAsia="zh-CN"/>
        </w:rPr>
        <w:t>（二）在党政机关、企事业单位等场所建设快慢结合的专用充电基础设施；</w:t>
      </w:r>
    </w:p>
    <w:p w14:paraId="77B6DC54">
      <w:pPr>
        <w:spacing w:after="0" w:line="560" w:lineRule="exact"/>
        <w:ind w:firstLine="640"/>
        <w:jc w:val="both"/>
        <w:rPr>
          <w:color w:val="auto"/>
          <w:lang w:eastAsia="zh-CN"/>
        </w:rPr>
      </w:pPr>
      <w:r>
        <w:rPr>
          <w:rFonts w:ascii="Times New Roman" w:hAnsi="Times New Roman" w:eastAsia="仿宋"/>
          <w:color w:val="auto"/>
          <w:sz w:val="32"/>
          <w:lang w:eastAsia="zh-CN"/>
        </w:rPr>
        <w:t>（三）在高速公路服务区、旅游景区、公共停车场、公共服务场所以及具备条件的加油、加气、加氢站点，建设以快充为主的公用充电基础设施；</w:t>
      </w:r>
    </w:p>
    <w:p w14:paraId="4C1CD8DC">
      <w:pPr>
        <w:spacing w:after="0" w:line="560" w:lineRule="exact"/>
        <w:ind w:firstLine="640"/>
        <w:jc w:val="both"/>
        <w:rPr>
          <w:color w:val="auto"/>
          <w:lang w:eastAsia="zh-CN"/>
        </w:rPr>
      </w:pPr>
      <w:r>
        <w:rPr>
          <w:rFonts w:ascii="Times New Roman" w:hAnsi="Times New Roman" w:eastAsia="仿宋"/>
          <w:color w:val="auto"/>
          <w:sz w:val="32"/>
          <w:lang w:eastAsia="zh-CN"/>
        </w:rPr>
        <w:t>（四）在县（市）乡和农村地区结合实际建设快慢结合的充电基础设施，构建县域示范站、公路沿线充电站、村居充电点相衔接的县乡村充电网络。</w:t>
      </w:r>
    </w:p>
    <w:p w14:paraId="2210683B">
      <w:pPr>
        <w:spacing w:after="0" w:line="560" w:lineRule="exact"/>
        <w:ind w:firstLine="640"/>
        <w:jc w:val="both"/>
        <w:rPr>
          <w:color w:val="auto"/>
          <w:lang w:eastAsia="zh-CN"/>
        </w:rPr>
      </w:pPr>
      <w:r>
        <w:rPr>
          <w:rFonts w:ascii="Times New Roman" w:hAnsi="Times New Roman" w:eastAsia="仿宋"/>
          <w:color w:val="auto"/>
          <w:sz w:val="32"/>
          <w:lang w:eastAsia="zh-CN"/>
        </w:rPr>
        <w:t>第十条　鼓励和支持充电基础设施模式创新与技术升级。推进中心城区超充设施建设，新建公共停车场站优先具备超充能力，存量场站逐步改造升级；鼓励建设集光伏发电、储能、充电、检测于一体的光储充放、光储充检一体化站；支持在公交、环卫、矿山、渣土等领域开展换电示范应用；推进充电基础设施智能化改造和智能有序充电，提升车网双向互动能力。充电站选址、建设应当符合《电动汽车充电站设计标准》（GB/T 50966-2024）、《建筑设计防火规范》（GB 50016）等标准规范，满足消防、防洪排涝和人员、车辆安全疏散要求。</w:t>
      </w:r>
    </w:p>
    <w:p w14:paraId="7DA5E71B">
      <w:pPr>
        <w:spacing w:before="120" w:after="120" w:line="560" w:lineRule="exact"/>
        <w:jc w:val="center"/>
        <w:rPr>
          <w:color w:val="auto"/>
          <w:lang w:eastAsia="zh-CN"/>
        </w:rPr>
      </w:pPr>
      <w:r>
        <w:rPr>
          <w:rFonts w:ascii="Times New Roman" w:hAnsi="Times New Roman" w:eastAsia="黑体"/>
          <w:color w:val="auto"/>
          <w:sz w:val="32"/>
          <w:lang w:eastAsia="zh-CN"/>
        </w:rPr>
        <w:t>第四章　建设管理</w:t>
      </w:r>
    </w:p>
    <w:p w14:paraId="3188DE7B">
      <w:pPr>
        <w:spacing w:after="0" w:line="560" w:lineRule="exact"/>
        <w:ind w:firstLine="640"/>
        <w:jc w:val="both"/>
        <w:rPr>
          <w:color w:val="auto"/>
          <w:lang w:eastAsia="zh-CN"/>
        </w:rPr>
      </w:pPr>
      <w:r>
        <w:rPr>
          <w:rFonts w:ascii="Times New Roman" w:hAnsi="Times New Roman" w:eastAsia="仿宋"/>
          <w:color w:val="auto"/>
          <w:sz w:val="32"/>
          <w:lang w:eastAsia="zh-CN"/>
        </w:rPr>
        <w:t>第十</w:t>
      </w:r>
      <w:r>
        <w:rPr>
          <w:rFonts w:hint="eastAsia" w:ascii="Times New Roman" w:hAnsi="Times New Roman" w:eastAsia="仿宋"/>
          <w:color w:val="auto"/>
          <w:sz w:val="32"/>
          <w:lang w:eastAsia="zh-CN"/>
        </w:rPr>
        <w:t>一</w:t>
      </w:r>
      <w:r>
        <w:rPr>
          <w:rFonts w:ascii="Times New Roman" w:hAnsi="Times New Roman" w:eastAsia="仿宋"/>
          <w:color w:val="auto"/>
          <w:sz w:val="32"/>
          <w:lang w:eastAsia="zh-CN"/>
        </w:rPr>
        <w:t>条　</w:t>
      </w:r>
      <w:r>
        <w:rPr>
          <w:rFonts w:hint="eastAsia" w:ascii="Times New Roman" w:hAnsi="Times New Roman" w:eastAsia="仿宋"/>
          <w:color w:val="auto"/>
          <w:sz w:val="32"/>
          <w:lang w:eastAsia="zh-CN"/>
        </w:rPr>
        <w:t>充电基础设施的投资建设坚持市场化原则，面向各类投资主体公平开放。</w:t>
      </w:r>
    </w:p>
    <w:p w14:paraId="3FC3F4F5">
      <w:pPr>
        <w:spacing w:after="0" w:line="560" w:lineRule="exact"/>
        <w:ind w:firstLine="640"/>
        <w:jc w:val="both"/>
        <w:rPr>
          <w:color w:val="auto"/>
          <w:lang w:eastAsia="zh-CN"/>
        </w:rPr>
      </w:pPr>
      <w:r>
        <w:rPr>
          <w:rFonts w:ascii="Times New Roman" w:hAnsi="Times New Roman" w:eastAsia="仿宋"/>
          <w:color w:val="auto"/>
          <w:sz w:val="32"/>
          <w:lang w:eastAsia="zh-CN"/>
        </w:rPr>
        <w:t>第十</w:t>
      </w:r>
      <w:r>
        <w:rPr>
          <w:rFonts w:hint="eastAsia" w:ascii="Times New Roman" w:hAnsi="Times New Roman" w:eastAsia="仿宋"/>
          <w:color w:val="auto"/>
          <w:sz w:val="32"/>
          <w:lang w:eastAsia="zh-CN"/>
        </w:rPr>
        <w:t>二</w:t>
      </w:r>
      <w:r>
        <w:rPr>
          <w:rFonts w:ascii="Times New Roman" w:hAnsi="Times New Roman" w:eastAsia="仿宋"/>
          <w:color w:val="auto"/>
          <w:sz w:val="32"/>
          <w:lang w:eastAsia="zh-CN"/>
        </w:rPr>
        <w:t>条　公用、专用充电基础设施新建或者改建、扩建项目实行备案管理。建设单位应当通过河南省投资项目在线审批监管平台申请备案，备案信息由发展改革部门定期共享至属地充电基础设施主管部门。</w:t>
      </w:r>
    </w:p>
    <w:p w14:paraId="0534083B">
      <w:pPr>
        <w:spacing w:after="0" w:line="560" w:lineRule="exact"/>
        <w:ind w:firstLine="640"/>
        <w:jc w:val="both"/>
        <w:rPr>
          <w:color w:val="auto"/>
          <w:lang w:eastAsia="zh-CN"/>
        </w:rPr>
      </w:pPr>
      <w:r>
        <w:rPr>
          <w:rFonts w:ascii="Times New Roman" w:hAnsi="Times New Roman" w:eastAsia="仿宋"/>
          <w:color w:val="auto"/>
          <w:sz w:val="32"/>
          <w:lang w:eastAsia="zh-CN"/>
        </w:rPr>
        <w:t>充电基础设施项目法人、建设地点、规模、内容发生变更，或者放弃项目建设的，建设运营主体应当及时通过省投资项目在线审批监管平台和新乡市智能充电管理服务平台变更相关信息。充换电站名称应当与投资备案、平台接入、对外运营时名称保持一致。</w:t>
      </w:r>
    </w:p>
    <w:p w14:paraId="41AB4752">
      <w:pPr>
        <w:spacing w:after="0" w:line="560" w:lineRule="exact"/>
        <w:ind w:firstLine="640"/>
        <w:jc w:val="both"/>
        <w:rPr>
          <w:color w:val="auto"/>
          <w:lang w:eastAsia="zh-CN"/>
        </w:rPr>
      </w:pPr>
      <w:r>
        <w:rPr>
          <w:rFonts w:ascii="Times New Roman" w:hAnsi="Times New Roman" w:eastAsia="仿宋"/>
          <w:color w:val="auto"/>
          <w:sz w:val="32"/>
          <w:lang w:eastAsia="zh-CN"/>
        </w:rPr>
        <w:t>第十</w:t>
      </w:r>
      <w:r>
        <w:rPr>
          <w:rFonts w:hint="eastAsia" w:ascii="Times New Roman" w:hAnsi="Times New Roman" w:eastAsia="仿宋"/>
          <w:color w:val="auto"/>
          <w:sz w:val="32"/>
          <w:lang w:eastAsia="zh-CN"/>
        </w:rPr>
        <w:t>三</w:t>
      </w:r>
      <w:r>
        <w:rPr>
          <w:rFonts w:ascii="Times New Roman" w:hAnsi="Times New Roman" w:eastAsia="仿宋"/>
          <w:color w:val="auto"/>
          <w:sz w:val="32"/>
          <w:lang w:eastAsia="zh-CN"/>
        </w:rPr>
        <w:t>条　充电基础设施施工单位应当具备建筑机电安装工程、输变电工程专业承包等相应资质。建设单位应当使用符合国家标准、行业标准并取得产品质量认证的充电设施产品。</w:t>
      </w:r>
    </w:p>
    <w:p w14:paraId="1F627FAD">
      <w:pPr>
        <w:spacing w:after="0" w:line="560" w:lineRule="exact"/>
        <w:ind w:firstLine="640"/>
        <w:jc w:val="both"/>
        <w:rPr>
          <w:color w:val="auto"/>
          <w:lang w:eastAsia="zh-CN"/>
        </w:rPr>
      </w:pPr>
      <w:r>
        <w:rPr>
          <w:rFonts w:ascii="Times New Roman" w:hAnsi="Times New Roman" w:eastAsia="仿宋"/>
          <w:color w:val="auto"/>
          <w:sz w:val="32"/>
          <w:lang w:eastAsia="zh-CN"/>
        </w:rPr>
        <w:t>第十</w:t>
      </w:r>
      <w:r>
        <w:rPr>
          <w:rFonts w:hint="eastAsia" w:ascii="Times New Roman" w:hAnsi="Times New Roman" w:eastAsia="仿宋"/>
          <w:color w:val="auto"/>
          <w:sz w:val="32"/>
          <w:lang w:eastAsia="zh-CN"/>
        </w:rPr>
        <w:t>四</w:t>
      </w:r>
      <w:r>
        <w:rPr>
          <w:rFonts w:ascii="Times New Roman" w:hAnsi="Times New Roman" w:eastAsia="仿宋"/>
          <w:color w:val="auto"/>
          <w:sz w:val="32"/>
          <w:lang w:eastAsia="zh-CN"/>
        </w:rPr>
        <w:t>条　居民区安装充电基础设施，物业管理单位应当配合业主或者其委托的建设单位及时提供相关图纸资料，协助现场勘查和施工，不得无故阻挠、拖延。鼓励接受业主委托，开展居民区充电基础设施统一建设、统一</w:t>
      </w:r>
      <w:r>
        <w:rPr>
          <w:rFonts w:hint="eastAsia" w:ascii="Times New Roman" w:hAnsi="Times New Roman" w:eastAsia="仿宋"/>
          <w:color w:val="auto"/>
          <w:sz w:val="32"/>
          <w:lang w:eastAsia="zh-CN"/>
        </w:rPr>
        <w:t>运营</w:t>
      </w:r>
      <w:r>
        <w:rPr>
          <w:rFonts w:ascii="Times New Roman" w:hAnsi="Times New Roman" w:eastAsia="仿宋"/>
          <w:color w:val="auto"/>
          <w:sz w:val="32"/>
          <w:lang w:eastAsia="zh-CN"/>
        </w:rPr>
        <w:t>。</w:t>
      </w:r>
    </w:p>
    <w:p w14:paraId="494B5F67">
      <w:pPr>
        <w:spacing w:after="0" w:line="560" w:lineRule="exact"/>
        <w:ind w:firstLine="640"/>
        <w:jc w:val="both"/>
        <w:rPr>
          <w:color w:val="auto"/>
          <w:lang w:eastAsia="zh-CN"/>
        </w:rPr>
      </w:pPr>
      <w:r>
        <w:rPr>
          <w:rFonts w:ascii="Times New Roman" w:hAnsi="Times New Roman" w:eastAsia="仿宋"/>
          <w:color w:val="auto"/>
          <w:sz w:val="32"/>
          <w:lang w:eastAsia="zh-CN"/>
        </w:rPr>
        <w:t>第十</w:t>
      </w:r>
      <w:r>
        <w:rPr>
          <w:rFonts w:hint="eastAsia" w:ascii="Times New Roman" w:hAnsi="Times New Roman" w:eastAsia="仿宋"/>
          <w:color w:val="auto"/>
          <w:sz w:val="32"/>
          <w:lang w:eastAsia="zh-CN"/>
        </w:rPr>
        <w:t>五</w:t>
      </w:r>
      <w:r>
        <w:rPr>
          <w:rFonts w:ascii="Times New Roman" w:hAnsi="Times New Roman" w:eastAsia="仿宋"/>
          <w:color w:val="auto"/>
          <w:sz w:val="32"/>
          <w:lang w:eastAsia="zh-CN"/>
        </w:rPr>
        <w:t>条　充电基础设施投入使用前，应当按照“业主负责制”原则组织竣工验收。公用、专用充电基础设施应当参照《电动汽车充换电设施工程施工和竣工验收规范》（NB/T 33004-2020）</w:t>
      </w:r>
      <w:r>
        <w:rPr>
          <w:rFonts w:hint="eastAsia" w:ascii="Times New Roman" w:hAnsi="Times New Roman" w:eastAsia="仿宋"/>
          <w:color w:val="auto"/>
          <w:sz w:val="32"/>
          <w:lang w:eastAsia="zh-CN"/>
        </w:rPr>
        <w:t>、</w:t>
      </w:r>
      <w:r>
        <w:rPr>
          <w:rFonts w:ascii="Times New Roman" w:hAnsi="Times New Roman" w:eastAsia="仿宋"/>
          <w:color w:val="auto"/>
          <w:sz w:val="32"/>
          <w:lang w:eastAsia="zh-CN"/>
        </w:rPr>
        <w:t>《电动汽车充电设备现场检验技术规范》（NB/T 10901-2021）</w:t>
      </w:r>
      <w:r>
        <w:rPr>
          <w:rFonts w:hint="eastAsia" w:ascii="Times New Roman" w:hAnsi="Times New Roman" w:eastAsia="仿宋"/>
          <w:color w:val="auto"/>
          <w:sz w:val="32"/>
          <w:lang w:eastAsia="zh-CN"/>
        </w:rPr>
        <w:t>、</w:t>
      </w:r>
      <w:r>
        <w:rPr>
          <w:rFonts w:ascii="Times New Roman" w:hAnsi="Times New Roman" w:eastAsia="仿宋"/>
          <w:color w:val="auto"/>
          <w:sz w:val="32"/>
          <w:lang w:eastAsia="zh-CN"/>
        </w:rPr>
        <w:t>《电动汽车供电设备安全要求》（GB 39752-2024）等标准，委托有资质的专业机构开展验收；未经验收或者验收不合格的，不得投入使用。验收合格之日起15日内，建设单位应当通过新乡市智能充电管理服务平台将竣工验收报告报属地主管部门。</w:t>
      </w:r>
    </w:p>
    <w:p w14:paraId="03B2EA5F">
      <w:pPr>
        <w:spacing w:after="0" w:line="560" w:lineRule="exact"/>
        <w:ind w:firstLine="640"/>
        <w:jc w:val="both"/>
        <w:rPr>
          <w:color w:val="auto"/>
          <w:lang w:eastAsia="zh-CN"/>
        </w:rPr>
      </w:pPr>
      <w:r>
        <w:rPr>
          <w:rFonts w:ascii="Times New Roman" w:hAnsi="Times New Roman" w:eastAsia="仿宋"/>
          <w:color w:val="auto"/>
          <w:sz w:val="32"/>
          <w:lang w:eastAsia="zh-CN"/>
        </w:rPr>
        <w:t>第十</w:t>
      </w:r>
      <w:r>
        <w:rPr>
          <w:rFonts w:hint="eastAsia" w:ascii="Times New Roman" w:hAnsi="Times New Roman" w:eastAsia="仿宋"/>
          <w:color w:val="auto"/>
          <w:sz w:val="32"/>
          <w:lang w:eastAsia="zh-CN"/>
        </w:rPr>
        <w:t>六</w:t>
      </w:r>
      <w:r>
        <w:rPr>
          <w:rFonts w:ascii="Times New Roman" w:hAnsi="Times New Roman" w:eastAsia="仿宋"/>
          <w:color w:val="auto"/>
          <w:sz w:val="32"/>
          <w:lang w:eastAsia="zh-CN"/>
        </w:rPr>
        <w:t>条　充电基础设施建设不得影响消防车通行、登高作业和人员疏散逃生通道，不得侵害第三方合法权益、妨碍公共安全；在人防工程中安装的充电基础设施，不得影响战时防护功能。</w:t>
      </w:r>
    </w:p>
    <w:p w14:paraId="37D46C63">
      <w:pPr>
        <w:spacing w:before="120" w:after="120" w:line="560" w:lineRule="exact"/>
        <w:jc w:val="center"/>
        <w:rPr>
          <w:color w:val="auto"/>
          <w:lang w:eastAsia="zh-CN"/>
        </w:rPr>
      </w:pPr>
      <w:r>
        <w:rPr>
          <w:rFonts w:ascii="Times New Roman" w:hAnsi="Times New Roman" w:eastAsia="黑体"/>
          <w:color w:val="auto"/>
          <w:sz w:val="32"/>
          <w:lang w:eastAsia="zh-CN"/>
        </w:rPr>
        <w:t>第五章　运营管理</w:t>
      </w:r>
    </w:p>
    <w:p w14:paraId="29CD94ED">
      <w:pPr>
        <w:spacing w:after="0" w:line="560" w:lineRule="exact"/>
        <w:ind w:firstLine="640"/>
        <w:jc w:val="both"/>
        <w:rPr>
          <w:color w:val="auto"/>
          <w:lang w:eastAsia="zh-CN"/>
        </w:rPr>
      </w:pPr>
      <w:r>
        <w:rPr>
          <w:rFonts w:ascii="Times New Roman" w:hAnsi="Times New Roman" w:eastAsia="仿宋"/>
          <w:color w:val="auto"/>
          <w:sz w:val="32"/>
          <w:lang w:eastAsia="zh-CN"/>
        </w:rPr>
        <w:t>第十</w:t>
      </w:r>
      <w:r>
        <w:rPr>
          <w:rFonts w:hint="eastAsia" w:ascii="Times New Roman" w:hAnsi="Times New Roman" w:eastAsia="仿宋"/>
          <w:color w:val="auto"/>
          <w:sz w:val="32"/>
          <w:lang w:eastAsia="zh-CN"/>
        </w:rPr>
        <w:t>七</w:t>
      </w:r>
      <w:r>
        <w:rPr>
          <w:rFonts w:ascii="Times New Roman" w:hAnsi="Times New Roman" w:eastAsia="仿宋"/>
          <w:color w:val="auto"/>
          <w:sz w:val="32"/>
          <w:lang w:eastAsia="zh-CN"/>
        </w:rPr>
        <w:t>条　充电基础设施运营企业应当具备下列条件：</w:t>
      </w:r>
    </w:p>
    <w:p w14:paraId="740CBD01">
      <w:pPr>
        <w:spacing w:after="0" w:line="560" w:lineRule="exact"/>
        <w:ind w:firstLine="640"/>
        <w:jc w:val="both"/>
        <w:rPr>
          <w:color w:val="auto"/>
          <w:lang w:eastAsia="zh-CN"/>
        </w:rPr>
      </w:pPr>
      <w:r>
        <w:rPr>
          <w:rFonts w:ascii="Times New Roman" w:hAnsi="Times New Roman" w:eastAsia="仿宋"/>
          <w:color w:val="auto"/>
          <w:sz w:val="32"/>
          <w:lang w:eastAsia="zh-CN"/>
        </w:rPr>
        <w:t>（一）营业执照经营范围包含电动汽车充电基础设施运营服务；</w:t>
      </w:r>
    </w:p>
    <w:p w14:paraId="2B9E3FE3">
      <w:pPr>
        <w:spacing w:after="0" w:line="560" w:lineRule="exact"/>
        <w:ind w:firstLine="640"/>
        <w:jc w:val="both"/>
        <w:rPr>
          <w:color w:val="auto"/>
          <w:lang w:eastAsia="zh-CN"/>
        </w:rPr>
      </w:pPr>
      <w:r>
        <w:rPr>
          <w:rFonts w:ascii="Times New Roman" w:hAnsi="Times New Roman" w:eastAsia="仿宋"/>
          <w:color w:val="auto"/>
          <w:sz w:val="32"/>
          <w:lang w:eastAsia="zh-CN"/>
        </w:rPr>
        <w:t>（二）建立充电基础设施运营管理系统，对运营设施实施有效监控，真实、完整采集存储运营数据，数据保存期限不少于5年，并按照要求全部接入</w:t>
      </w:r>
      <w:r>
        <w:rPr>
          <w:rFonts w:hint="eastAsia" w:ascii="Times New Roman" w:hAnsi="Times New Roman" w:eastAsia="仿宋"/>
          <w:color w:val="auto"/>
          <w:sz w:val="32"/>
          <w:lang w:eastAsia="zh-CN"/>
        </w:rPr>
        <w:t>新乡市</w:t>
      </w:r>
      <w:r>
        <w:rPr>
          <w:rFonts w:ascii="Times New Roman" w:hAnsi="Times New Roman" w:eastAsia="仿宋"/>
          <w:color w:val="auto"/>
          <w:sz w:val="32"/>
          <w:lang w:eastAsia="zh-CN"/>
        </w:rPr>
        <w:t>智能充电管理服务平台；具备视频监控和防盗、防火、防人为事故的预警报警功能；</w:t>
      </w:r>
    </w:p>
    <w:p w14:paraId="17BFF912">
      <w:pPr>
        <w:spacing w:after="0" w:line="560" w:lineRule="exact"/>
        <w:ind w:firstLine="640"/>
        <w:jc w:val="both"/>
        <w:rPr>
          <w:color w:val="auto"/>
          <w:lang w:eastAsia="zh-CN"/>
        </w:rPr>
      </w:pPr>
      <w:r>
        <w:rPr>
          <w:rFonts w:ascii="Times New Roman" w:hAnsi="Times New Roman" w:eastAsia="仿宋"/>
          <w:color w:val="auto"/>
          <w:sz w:val="32"/>
          <w:lang w:eastAsia="zh-CN"/>
        </w:rPr>
        <w:t>（三）建立健全运营维护管理制度，配备与运营规模相适应的专职运维人员和抢修力量，其中持有特种作业操作证（电工）的人员不得少于2人，能够及时提供维护保养和故障处置服务；</w:t>
      </w:r>
    </w:p>
    <w:p w14:paraId="08B28CA3">
      <w:pPr>
        <w:spacing w:after="0" w:line="560" w:lineRule="exact"/>
        <w:ind w:firstLine="640"/>
        <w:jc w:val="both"/>
        <w:rPr>
          <w:color w:val="auto"/>
          <w:lang w:eastAsia="zh-CN"/>
        </w:rPr>
      </w:pPr>
      <w:r>
        <w:rPr>
          <w:rFonts w:ascii="Times New Roman" w:hAnsi="Times New Roman" w:eastAsia="仿宋"/>
          <w:color w:val="auto"/>
          <w:sz w:val="32"/>
          <w:lang w:eastAsia="zh-CN"/>
        </w:rPr>
        <w:t>（四）建立信息公开制度和服务投诉处理机制，公开设施位置、运行状态、操作方法、异常情况处置方式和联系方式，自觉接受行业监管和用户监督；</w:t>
      </w:r>
    </w:p>
    <w:p w14:paraId="61A7BA75">
      <w:pPr>
        <w:spacing w:after="0" w:line="560" w:lineRule="exact"/>
        <w:ind w:firstLine="640"/>
        <w:jc w:val="both"/>
        <w:rPr>
          <w:color w:val="auto"/>
          <w:lang w:eastAsia="zh-CN"/>
        </w:rPr>
      </w:pPr>
      <w:r>
        <w:rPr>
          <w:rFonts w:ascii="Times New Roman" w:hAnsi="Times New Roman" w:eastAsia="仿宋"/>
          <w:color w:val="auto"/>
          <w:sz w:val="32"/>
          <w:lang w:eastAsia="zh-CN"/>
        </w:rPr>
        <w:t>（五）落实安全生产主体责任，明确安全责任人，配备必要的消防设施器材，建立安全巡查、教育培训、隐患治理、应急预案和应急演练制度；</w:t>
      </w:r>
    </w:p>
    <w:p w14:paraId="3B209CAE">
      <w:pPr>
        <w:spacing w:after="0" w:line="560" w:lineRule="exact"/>
        <w:ind w:firstLine="640"/>
        <w:jc w:val="both"/>
        <w:rPr>
          <w:color w:val="auto"/>
          <w:lang w:eastAsia="zh-CN"/>
        </w:rPr>
      </w:pPr>
      <w:r>
        <w:rPr>
          <w:rFonts w:ascii="Times New Roman" w:hAnsi="Times New Roman" w:eastAsia="仿宋"/>
          <w:color w:val="auto"/>
          <w:sz w:val="32"/>
          <w:lang w:eastAsia="zh-CN"/>
        </w:rPr>
        <w:t>（六）实行承诺公示制度，在新乡市智能充电管理服务平台公示企业名称、注册地址、安全运营承诺、规范收费承诺等信息，接受社会监督。</w:t>
      </w:r>
    </w:p>
    <w:p w14:paraId="653E08C1">
      <w:pPr>
        <w:spacing w:after="0" w:line="560" w:lineRule="exact"/>
        <w:ind w:firstLine="640"/>
        <w:jc w:val="both"/>
        <w:rPr>
          <w:color w:val="auto"/>
          <w:lang w:eastAsia="zh-CN"/>
        </w:rPr>
      </w:pPr>
      <w:r>
        <w:rPr>
          <w:rFonts w:ascii="Times New Roman" w:hAnsi="Times New Roman" w:eastAsia="仿宋"/>
          <w:color w:val="auto"/>
          <w:sz w:val="32"/>
          <w:lang w:eastAsia="zh-CN"/>
        </w:rPr>
        <w:t>第</w:t>
      </w:r>
      <w:r>
        <w:rPr>
          <w:rFonts w:hint="eastAsia" w:ascii="Times New Roman" w:hAnsi="Times New Roman" w:eastAsia="仿宋"/>
          <w:color w:val="auto"/>
          <w:sz w:val="32"/>
          <w:lang w:eastAsia="zh-CN"/>
        </w:rPr>
        <w:t>十八</w:t>
      </w:r>
      <w:r>
        <w:rPr>
          <w:rFonts w:ascii="Times New Roman" w:hAnsi="Times New Roman" w:eastAsia="仿宋"/>
          <w:color w:val="auto"/>
          <w:sz w:val="32"/>
          <w:lang w:eastAsia="zh-CN"/>
        </w:rPr>
        <w:t>条　对外运营的充电基础设施场站应当按照《图形标志　电动汽车充换电设施标志》（GB/T 31525-2015）设置统一、完备的标识标志。交通运输、城市管理和公安机关交通管理部门应当予以支持。</w:t>
      </w:r>
    </w:p>
    <w:p w14:paraId="747426FF">
      <w:pPr>
        <w:spacing w:after="0" w:line="560" w:lineRule="exact"/>
        <w:ind w:firstLine="640"/>
        <w:jc w:val="both"/>
        <w:rPr>
          <w:color w:val="auto"/>
          <w:lang w:eastAsia="zh-CN"/>
        </w:rPr>
      </w:pPr>
      <w:r>
        <w:rPr>
          <w:rFonts w:ascii="Times New Roman" w:hAnsi="Times New Roman" w:eastAsia="仿宋"/>
          <w:color w:val="auto"/>
          <w:sz w:val="32"/>
          <w:lang w:eastAsia="zh-CN"/>
        </w:rPr>
        <w:t>第</w:t>
      </w:r>
      <w:r>
        <w:rPr>
          <w:rFonts w:hint="eastAsia" w:ascii="Times New Roman" w:hAnsi="Times New Roman" w:eastAsia="仿宋"/>
          <w:color w:val="auto"/>
          <w:sz w:val="32"/>
          <w:lang w:eastAsia="zh-CN"/>
        </w:rPr>
        <w:t>十九</w:t>
      </w:r>
      <w:r>
        <w:rPr>
          <w:rFonts w:ascii="Times New Roman" w:hAnsi="Times New Roman" w:eastAsia="仿宋"/>
          <w:color w:val="auto"/>
          <w:sz w:val="32"/>
          <w:lang w:eastAsia="zh-CN"/>
        </w:rPr>
        <w:t>条　充电基础设施运营企业向用户收取电费和充电服务费。电费按照国家和省规定电价政策执行，充电服务费按照市场化原则确定。费用收取应当明码标价，在经营场所显著位置公示，并符合价格主管部门规定。转供电主体在未提供实质性服务的情况下不得违规加价，违规加价的由市场监管部门依法查处。充电基础设施投入运营前，应当依法完成计量器具强制检定。</w:t>
      </w:r>
    </w:p>
    <w:p w14:paraId="6D8F6114">
      <w:pPr>
        <w:spacing w:after="0" w:line="560" w:lineRule="exact"/>
        <w:ind w:firstLine="640"/>
        <w:jc w:val="both"/>
        <w:rPr>
          <w:color w:val="auto"/>
          <w:lang w:eastAsia="zh-CN"/>
        </w:rPr>
      </w:pPr>
      <w:r>
        <w:rPr>
          <w:rFonts w:ascii="Times New Roman" w:hAnsi="Times New Roman" w:eastAsia="仿宋"/>
          <w:color w:val="auto"/>
          <w:sz w:val="32"/>
          <w:lang w:eastAsia="zh-CN"/>
        </w:rPr>
        <w:t>第二十条　运营企业主要负责人是安全生产第一责任人。应当定期开展电气、消防、防雷等安全检查和设施巡检，巡检记录留存不少于1年；加强老旧设施运维保养和设备更新，发现隐患立即整改，发生事故依法依规上报并妥善处置。鼓励运营企业和产权人为充电基础设施投保安全生产责任保险、火灾公众责任保险等相关保险。</w:t>
      </w:r>
    </w:p>
    <w:p w14:paraId="7B24ABB0">
      <w:pPr>
        <w:spacing w:after="0" w:line="560" w:lineRule="exact"/>
        <w:ind w:firstLine="640"/>
        <w:jc w:val="both"/>
        <w:rPr>
          <w:color w:val="auto"/>
          <w:lang w:eastAsia="zh-CN"/>
        </w:rPr>
      </w:pPr>
      <w:r>
        <w:rPr>
          <w:rFonts w:ascii="Times New Roman" w:hAnsi="Times New Roman" w:eastAsia="仿宋"/>
          <w:color w:val="auto"/>
          <w:sz w:val="32"/>
          <w:lang w:eastAsia="zh-CN"/>
        </w:rPr>
        <w:t>第二十</w:t>
      </w:r>
      <w:r>
        <w:rPr>
          <w:rFonts w:hint="eastAsia" w:ascii="Times New Roman" w:hAnsi="Times New Roman" w:eastAsia="仿宋"/>
          <w:color w:val="auto"/>
          <w:sz w:val="32"/>
          <w:lang w:eastAsia="zh-CN"/>
        </w:rPr>
        <w:t>一</w:t>
      </w:r>
      <w:r>
        <w:rPr>
          <w:rFonts w:ascii="Times New Roman" w:hAnsi="Times New Roman" w:eastAsia="仿宋"/>
          <w:color w:val="auto"/>
          <w:sz w:val="32"/>
          <w:lang w:eastAsia="zh-CN"/>
        </w:rPr>
        <w:t>条　鼓励运营企业综合运用互联网、人工智能、大数据等技术，提升充电服务智能化水平；鼓励充电基础设施与光伏发电、储能系统协同，参与电网调峰调频，促进新能源汽车与智能电网能量、信息双向互动。</w:t>
      </w:r>
    </w:p>
    <w:p w14:paraId="7F064569">
      <w:pPr>
        <w:spacing w:after="0" w:line="560" w:lineRule="exact"/>
        <w:ind w:firstLine="640"/>
        <w:jc w:val="both"/>
        <w:rPr>
          <w:color w:val="auto"/>
          <w:lang w:eastAsia="zh-CN"/>
        </w:rPr>
      </w:pPr>
      <w:r>
        <w:rPr>
          <w:rFonts w:ascii="Times New Roman" w:hAnsi="Times New Roman" w:eastAsia="仿宋"/>
          <w:color w:val="auto"/>
          <w:sz w:val="32"/>
          <w:lang w:eastAsia="zh-CN"/>
        </w:rPr>
        <w:t>第二十</w:t>
      </w:r>
      <w:r>
        <w:rPr>
          <w:rFonts w:hint="eastAsia" w:ascii="Times New Roman" w:hAnsi="Times New Roman" w:eastAsia="仿宋"/>
          <w:color w:val="auto"/>
          <w:sz w:val="32"/>
          <w:lang w:eastAsia="zh-CN"/>
        </w:rPr>
        <w:t>二</w:t>
      </w:r>
      <w:r>
        <w:rPr>
          <w:rFonts w:ascii="Times New Roman" w:hAnsi="Times New Roman" w:eastAsia="仿宋"/>
          <w:color w:val="auto"/>
          <w:sz w:val="32"/>
          <w:lang w:eastAsia="zh-CN"/>
        </w:rPr>
        <w:t>条　不对外运营的专用、自用充电基础设施，原则上由产权人和投资建设主体负责日常维护管理，并承担安全管理主体责任。电力企业、物业管理单位在日常巡检中发现安全隐患的，应当及时提醒产权人履行安全管理责任；遇紧急情况应当立即采取关闭电源、消防应急等措施。物业管理单位按照物业服务合同约定和相关法律法规规定，履行相应安全管理责任。</w:t>
      </w:r>
    </w:p>
    <w:p w14:paraId="48670883">
      <w:pPr>
        <w:spacing w:after="0" w:line="560" w:lineRule="exact"/>
        <w:ind w:firstLine="640"/>
        <w:jc w:val="both"/>
        <w:rPr>
          <w:color w:val="auto"/>
          <w:lang w:eastAsia="zh-CN"/>
        </w:rPr>
      </w:pPr>
      <w:r>
        <w:rPr>
          <w:rFonts w:ascii="Times New Roman" w:hAnsi="Times New Roman" w:eastAsia="仿宋"/>
          <w:color w:val="auto"/>
          <w:sz w:val="32"/>
          <w:lang w:eastAsia="zh-CN"/>
        </w:rPr>
        <w:t>第二十</w:t>
      </w:r>
      <w:r>
        <w:rPr>
          <w:rFonts w:hint="eastAsia" w:ascii="Times New Roman" w:hAnsi="Times New Roman" w:eastAsia="仿宋"/>
          <w:color w:val="auto"/>
          <w:sz w:val="32"/>
          <w:lang w:eastAsia="zh-CN"/>
        </w:rPr>
        <w:t>三</w:t>
      </w:r>
      <w:r>
        <w:rPr>
          <w:rFonts w:ascii="Times New Roman" w:hAnsi="Times New Roman" w:eastAsia="仿宋"/>
          <w:color w:val="auto"/>
          <w:sz w:val="32"/>
          <w:lang w:eastAsia="zh-CN"/>
        </w:rPr>
        <w:t>条　运营企业、运营管理平台及其他信息发生变更的，产权人或者运营企业应当及时在新乡市智能充电管理服务平台变更相应信息。充电基础设施退出运营的，应当依法向电力企业或者转供电主体办理拆表销户手续，及时拆除充电设施，并在平台和备案系统更新信息。电力企业和转供电主体应当定期将拆表销户信息报属地主管部门。</w:t>
      </w:r>
    </w:p>
    <w:p w14:paraId="1AEEA666">
      <w:pPr>
        <w:spacing w:after="0" w:line="560" w:lineRule="exact"/>
        <w:ind w:firstLine="640"/>
        <w:jc w:val="both"/>
        <w:rPr>
          <w:color w:val="auto"/>
          <w:lang w:eastAsia="zh-CN"/>
        </w:rPr>
      </w:pPr>
      <w:r>
        <w:rPr>
          <w:rFonts w:ascii="Times New Roman" w:hAnsi="Times New Roman" w:eastAsia="仿宋"/>
          <w:color w:val="auto"/>
          <w:sz w:val="32"/>
          <w:lang w:eastAsia="zh-CN"/>
        </w:rPr>
        <w:t>第二十</w:t>
      </w:r>
      <w:r>
        <w:rPr>
          <w:rFonts w:hint="eastAsia" w:ascii="Times New Roman" w:hAnsi="Times New Roman" w:eastAsia="仿宋"/>
          <w:color w:val="auto"/>
          <w:sz w:val="32"/>
          <w:lang w:eastAsia="zh-CN"/>
        </w:rPr>
        <w:t>四</w:t>
      </w:r>
      <w:r>
        <w:rPr>
          <w:rFonts w:ascii="Times New Roman" w:hAnsi="Times New Roman" w:eastAsia="仿宋"/>
          <w:color w:val="auto"/>
          <w:sz w:val="32"/>
          <w:lang w:eastAsia="zh-CN"/>
        </w:rPr>
        <w:t>条　具备条件的专用、自用充电基础设施，经产权人同意并依法办理相关手续后，可以委托符合条件的运营企业对外开放经营，参照公用充电基础设施管理。</w:t>
      </w:r>
    </w:p>
    <w:p w14:paraId="1507197C">
      <w:pPr>
        <w:spacing w:before="120" w:after="120" w:line="560" w:lineRule="exact"/>
        <w:jc w:val="center"/>
        <w:rPr>
          <w:color w:val="auto"/>
          <w:lang w:eastAsia="zh-CN"/>
        </w:rPr>
      </w:pPr>
      <w:r>
        <w:rPr>
          <w:rFonts w:ascii="Times New Roman" w:hAnsi="Times New Roman" w:eastAsia="黑体"/>
          <w:color w:val="auto"/>
          <w:sz w:val="32"/>
          <w:lang w:eastAsia="zh-CN"/>
        </w:rPr>
        <w:t>第六章　监督管理</w:t>
      </w:r>
    </w:p>
    <w:p w14:paraId="3576A0EA">
      <w:pPr>
        <w:spacing w:after="0" w:line="560" w:lineRule="exact"/>
        <w:ind w:firstLine="640"/>
        <w:jc w:val="both"/>
        <w:rPr>
          <w:color w:val="auto"/>
          <w:lang w:eastAsia="zh-CN"/>
        </w:rPr>
      </w:pPr>
      <w:r>
        <w:rPr>
          <w:rFonts w:ascii="Times New Roman" w:hAnsi="Times New Roman" w:eastAsia="仿宋"/>
          <w:color w:val="auto"/>
          <w:sz w:val="32"/>
          <w:lang w:eastAsia="zh-CN"/>
        </w:rPr>
        <w:t>第二十</w:t>
      </w:r>
      <w:r>
        <w:rPr>
          <w:rFonts w:hint="eastAsia" w:ascii="Times New Roman" w:hAnsi="Times New Roman" w:eastAsia="仿宋"/>
          <w:color w:val="auto"/>
          <w:sz w:val="32"/>
          <w:lang w:eastAsia="zh-CN"/>
        </w:rPr>
        <w:t>五</w:t>
      </w:r>
      <w:r>
        <w:rPr>
          <w:rFonts w:ascii="Times New Roman" w:hAnsi="Times New Roman" w:eastAsia="仿宋"/>
          <w:color w:val="auto"/>
          <w:sz w:val="32"/>
          <w:lang w:eastAsia="zh-CN"/>
        </w:rPr>
        <w:t>条　充电基础设施建设运营企业有下列情形之一的，属地相关部门应当督促整改；拒不整改的，依法予以处理：</w:t>
      </w:r>
    </w:p>
    <w:p w14:paraId="12AAB5F4">
      <w:pPr>
        <w:spacing w:after="0" w:line="560" w:lineRule="exact"/>
        <w:ind w:firstLine="640"/>
        <w:jc w:val="both"/>
        <w:rPr>
          <w:color w:val="auto"/>
          <w:lang w:eastAsia="zh-CN"/>
        </w:rPr>
      </w:pPr>
      <w:r>
        <w:rPr>
          <w:rFonts w:ascii="Times New Roman" w:hAnsi="Times New Roman" w:eastAsia="仿宋"/>
          <w:color w:val="auto"/>
          <w:sz w:val="32"/>
          <w:lang w:eastAsia="zh-CN"/>
        </w:rPr>
        <w:t>（一）充电基础设施产品和建设运营不符合国家、省相关标准规范的；</w:t>
      </w:r>
    </w:p>
    <w:p w14:paraId="1ABA4D55">
      <w:pPr>
        <w:spacing w:after="0" w:line="560" w:lineRule="exact"/>
        <w:ind w:firstLine="640"/>
        <w:jc w:val="both"/>
        <w:rPr>
          <w:color w:val="auto"/>
          <w:lang w:eastAsia="zh-CN"/>
        </w:rPr>
      </w:pPr>
      <w:r>
        <w:rPr>
          <w:rFonts w:ascii="Times New Roman" w:hAnsi="Times New Roman" w:eastAsia="仿宋"/>
          <w:color w:val="auto"/>
          <w:sz w:val="32"/>
          <w:lang w:eastAsia="zh-CN"/>
        </w:rPr>
        <w:t>（二）项目违规建设、未经验收或者验收不合格投入使用的；</w:t>
      </w:r>
    </w:p>
    <w:p w14:paraId="64ECDDB7">
      <w:pPr>
        <w:spacing w:after="0" w:line="560" w:lineRule="exact"/>
        <w:ind w:firstLine="640"/>
        <w:jc w:val="both"/>
        <w:rPr>
          <w:color w:val="auto"/>
          <w:lang w:eastAsia="zh-CN"/>
        </w:rPr>
      </w:pPr>
      <w:r>
        <w:rPr>
          <w:rFonts w:ascii="Times New Roman" w:hAnsi="Times New Roman" w:eastAsia="仿宋"/>
          <w:color w:val="auto"/>
          <w:sz w:val="32"/>
          <w:lang w:eastAsia="zh-CN"/>
        </w:rPr>
        <w:t>（三）利用不正当手段恶意竞争，造成充电市场秩序混乱的；</w:t>
      </w:r>
    </w:p>
    <w:p w14:paraId="74E4678B">
      <w:pPr>
        <w:spacing w:after="0" w:line="560" w:lineRule="exact"/>
        <w:ind w:firstLine="640"/>
        <w:jc w:val="both"/>
        <w:rPr>
          <w:color w:val="auto"/>
          <w:lang w:eastAsia="zh-CN"/>
        </w:rPr>
      </w:pPr>
      <w:r>
        <w:rPr>
          <w:rFonts w:ascii="Times New Roman" w:hAnsi="Times New Roman" w:eastAsia="仿宋"/>
          <w:color w:val="auto"/>
          <w:sz w:val="32"/>
          <w:lang w:eastAsia="zh-CN"/>
        </w:rPr>
        <w:t>（四）存在重大安全隐患、发生安全事故或者其他违法违规行为的。</w:t>
      </w:r>
    </w:p>
    <w:p w14:paraId="03034D7D">
      <w:pPr>
        <w:spacing w:after="0" w:line="560" w:lineRule="exact"/>
        <w:ind w:firstLine="640"/>
        <w:jc w:val="both"/>
        <w:rPr>
          <w:color w:val="auto"/>
          <w:lang w:eastAsia="zh-CN"/>
        </w:rPr>
      </w:pPr>
      <w:r>
        <w:rPr>
          <w:rFonts w:ascii="Times New Roman" w:hAnsi="Times New Roman" w:eastAsia="仿宋"/>
          <w:color w:val="auto"/>
          <w:sz w:val="32"/>
          <w:lang w:eastAsia="zh-CN"/>
        </w:rPr>
        <w:t>第二十</w:t>
      </w:r>
      <w:r>
        <w:rPr>
          <w:rFonts w:hint="eastAsia" w:ascii="Times New Roman" w:hAnsi="Times New Roman" w:eastAsia="仿宋"/>
          <w:color w:val="auto"/>
          <w:sz w:val="32"/>
          <w:lang w:eastAsia="zh-CN"/>
        </w:rPr>
        <w:t>六</w:t>
      </w:r>
      <w:r>
        <w:rPr>
          <w:rFonts w:ascii="Times New Roman" w:hAnsi="Times New Roman" w:eastAsia="仿宋"/>
          <w:color w:val="auto"/>
          <w:sz w:val="32"/>
          <w:lang w:eastAsia="zh-CN"/>
        </w:rPr>
        <w:t>条　充电基础设施建设运营企业应当诚实守信、加强自律。违反承诺公示要求的，主管部门可以将相关失信信息纳入公共信用信息共享服务平台，依法实施失信惩戒。</w:t>
      </w:r>
    </w:p>
    <w:p w14:paraId="607116CA">
      <w:pPr>
        <w:spacing w:after="0" w:line="560" w:lineRule="exact"/>
        <w:ind w:firstLine="640"/>
        <w:jc w:val="both"/>
        <w:rPr>
          <w:color w:val="auto"/>
          <w:lang w:eastAsia="zh-CN"/>
        </w:rPr>
      </w:pPr>
      <w:r>
        <w:rPr>
          <w:rFonts w:ascii="Times New Roman" w:hAnsi="Times New Roman" w:eastAsia="仿宋"/>
          <w:color w:val="auto"/>
          <w:sz w:val="32"/>
          <w:lang w:eastAsia="zh-CN"/>
        </w:rPr>
        <w:t>第二十</w:t>
      </w:r>
      <w:r>
        <w:rPr>
          <w:rFonts w:hint="eastAsia" w:ascii="Times New Roman" w:hAnsi="Times New Roman" w:eastAsia="仿宋"/>
          <w:color w:val="auto"/>
          <w:sz w:val="32"/>
          <w:lang w:eastAsia="zh-CN"/>
        </w:rPr>
        <w:t>七</w:t>
      </w:r>
      <w:r>
        <w:rPr>
          <w:rFonts w:ascii="Times New Roman" w:hAnsi="Times New Roman" w:eastAsia="仿宋"/>
          <w:color w:val="auto"/>
          <w:sz w:val="32"/>
          <w:lang w:eastAsia="zh-CN"/>
        </w:rPr>
        <w:t>条　建立充电基础设施动态监测和退出机制。对长期离线、闲置停运、拒不接入平台或者存在严重安全隐患的充电设施，由主管部门责令限期整改；逾期不改的，依法依规清理下线，并向社会公布。</w:t>
      </w:r>
    </w:p>
    <w:p w14:paraId="2294DB54">
      <w:pPr>
        <w:spacing w:before="120" w:after="120" w:line="560" w:lineRule="exact"/>
        <w:jc w:val="center"/>
        <w:rPr>
          <w:color w:val="auto"/>
          <w:lang w:eastAsia="zh-CN"/>
        </w:rPr>
      </w:pPr>
      <w:r>
        <w:rPr>
          <w:rFonts w:ascii="Times New Roman" w:hAnsi="Times New Roman" w:eastAsia="黑体"/>
          <w:color w:val="auto"/>
          <w:sz w:val="32"/>
          <w:lang w:eastAsia="zh-CN"/>
        </w:rPr>
        <w:t>第七章　附　则</w:t>
      </w:r>
    </w:p>
    <w:p w14:paraId="109502AC">
      <w:pPr>
        <w:spacing w:after="0" w:line="560" w:lineRule="exact"/>
        <w:ind w:firstLine="640"/>
        <w:jc w:val="both"/>
        <w:rPr>
          <w:color w:val="auto"/>
          <w:lang w:eastAsia="zh-CN"/>
        </w:rPr>
      </w:pPr>
      <w:r>
        <w:rPr>
          <w:rFonts w:ascii="Times New Roman" w:hAnsi="Times New Roman" w:eastAsia="仿宋"/>
          <w:color w:val="auto"/>
          <w:sz w:val="32"/>
          <w:lang w:eastAsia="zh-CN"/>
        </w:rPr>
        <w:t>第</w:t>
      </w:r>
      <w:r>
        <w:rPr>
          <w:rFonts w:hint="eastAsia" w:ascii="Times New Roman" w:hAnsi="Times New Roman" w:eastAsia="仿宋"/>
          <w:color w:val="auto"/>
          <w:sz w:val="32"/>
          <w:lang w:eastAsia="zh-CN"/>
        </w:rPr>
        <w:t>二十八</w:t>
      </w:r>
      <w:r>
        <w:rPr>
          <w:rFonts w:ascii="Times New Roman" w:hAnsi="Times New Roman" w:eastAsia="仿宋"/>
          <w:color w:val="auto"/>
          <w:sz w:val="32"/>
          <w:lang w:eastAsia="zh-CN"/>
        </w:rPr>
        <w:t>条　本办法施行前已经建成的公用、专用充电基础设施，其产权人或者运营企业应当自本办法施行之日起1年内完成自查整改，并按照有关规定接入</w:t>
      </w:r>
      <w:r>
        <w:rPr>
          <w:rFonts w:hint="eastAsia" w:ascii="Times New Roman" w:hAnsi="Times New Roman" w:eastAsia="仿宋"/>
          <w:color w:val="auto"/>
          <w:sz w:val="32"/>
          <w:lang w:eastAsia="zh-CN"/>
        </w:rPr>
        <w:t>新乡市</w:t>
      </w:r>
      <w:r>
        <w:rPr>
          <w:rFonts w:ascii="Times New Roman" w:hAnsi="Times New Roman" w:eastAsia="仿宋"/>
          <w:color w:val="auto"/>
          <w:sz w:val="32"/>
          <w:lang w:eastAsia="zh-CN"/>
        </w:rPr>
        <w:t>智能充电管理服务平台。</w:t>
      </w:r>
    </w:p>
    <w:p w14:paraId="7C3C45B0">
      <w:pPr>
        <w:spacing w:after="0" w:line="560" w:lineRule="exact"/>
        <w:ind w:firstLine="640"/>
        <w:jc w:val="both"/>
        <w:rPr>
          <w:color w:val="auto"/>
          <w:lang w:eastAsia="zh-CN"/>
        </w:rPr>
      </w:pPr>
      <w:r>
        <w:rPr>
          <w:rFonts w:ascii="Times New Roman" w:hAnsi="Times New Roman" w:eastAsia="仿宋"/>
          <w:color w:val="auto"/>
          <w:sz w:val="32"/>
          <w:lang w:eastAsia="zh-CN"/>
        </w:rPr>
        <w:t>第</w:t>
      </w:r>
      <w:r>
        <w:rPr>
          <w:rFonts w:hint="eastAsia" w:ascii="Times New Roman" w:hAnsi="Times New Roman" w:eastAsia="仿宋"/>
          <w:color w:val="auto"/>
          <w:sz w:val="32"/>
          <w:lang w:eastAsia="zh-CN"/>
        </w:rPr>
        <w:t>二十九</w:t>
      </w:r>
      <w:r>
        <w:rPr>
          <w:rFonts w:ascii="Times New Roman" w:hAnsi="Times New Roman" w:eastAsia="仿宋"/>
          <w:color w:val="auto"/>
          <w:sz w:val="32"/>
          <w:lang w:eastAsia="zh-CN"/>
        </w:rPr>
        <w:t>条　国家和省对充电基础设施规划、建设、运营和监督管理有新规定的，从其规定。</w:t>
      </w:r>
    </w:p>
    <w:p w14:paraId="403FC32A">
      <w:pPr>
        <w:spacing w:after="0" w:line="560" w:lineRule="exact"/>
        <w:ind w:firstLine="640"/>
        <w:jc w:val="both"/>
        <w:rPr>
          <w:color w:val="auto"/>
          <w:lang w:eastAsia="zh-CN"/>
        </w:rPr>
      </w:pPr>
      <w:r>
        <w:rPr>
          <w:rFonts w:ascii="Times New Roman" w:hAnsi="Times New Roman" w:eastAsia="仿宋"/>
          <w:color w:val="auto"/>
          <w:sz w:val="32"/>
          <w:lang w:eastAsia="zh-CN"/>
        </w:rPr>
        <w:t>第三十条　本办法自印发之日起施行，有效期</w:t>
      </w:r>
      <w:r>
        <w:rPr>
          <w:rFonts w:hint="eastAsia" w:ascii="Times New Roman" w:hAnsi="Times New Roman" w:eastAsia="仿宋"/>
          <w:color w:val="auto"/>
          <w:sz w:val="32"/>
          <w:lang w:eastAsia="zh-CN"/>
        </w:rPr>
        <w:t>5</w:t>
      </w:r>
      <w:r>
        <w:rPr>
          <w:rFonts w:ascii="Times New Roman" w:hAnsi="Times New Roman" w:eastAsia="仿宋"/>
          <w:color w:val="auto"/>
          <w:sz w:val="32"/>
          <w:lang w:eastAsia="zh-CN"/>
        </w:rPr>
        <w:t>年。</w:t>
      </w:r>
    </w:p>
    <w:sectPr>
      <w:pgSz w:w="11906" w:h="16838"/>
      <w:pgMar w:top="2098" w:right="1474" w:bottom="1984"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0000000" w:usb3="00000000" w:csb0="0000019F" w:csb1="00000000"/>
  </w:font>
  <w:font w:name="FreeSerif">
    <w:panose1 w:val="02020603050405020304"/>
    <w:charset w:val="00"/>
    <w:family w:val="auto"/>
    <w:pitch w:val="default"/>
    <w:sig w:usb0="E59FAFFF" w:usb1="C200FDFF" w:usb2="43501B29" w:usb3="04000043" w:csb0="600101FF" w:csb1="FFFF0000"/>
  </w:font>
  <w:font w:name="Courier">
    <w:altName w:val="Liberation Mono"/>
    <w:panose1 w:val="02060409020205020404"/>
    <w:charset w:val="00"/>
    <w:family w:val="modern"/>
    <w:pitch w:val="default"/>
    <w:sig w:usb0="00000000" w:usb1="00000000" w:usb2="00000000" w:usb3="00000000" w:csb0="00000093" w:csb1="00000000"/>
  </w:font>
  <w:font w:name="Liberation Mono">
    <w:panose1 w:val="02070409020205020404"/>
    <w:charset w:val="00"/>
    <w:family w:val="auto"/>
    <w:pitch w:val="default"/>
    <w:sig w:usb0="A00002AF" w:usb1="400078FB" w:usb2="00000000" w:usb3="00000000" w:csb0="6000009F" w:csb1="DFD70000"/>
  </w:font>
  <w:font w:name="MathJax_Vector">
    <w:panose1 w:val="02000603000000000000"/>
    <w:charset w:val="00"/>
    <w:family w:val="auto"/>
    <w:pitch w:val="default"/>
    <w:sig w:usb0="00000001" w:usb1="00000020" w:usb2="00000000" w:usb3="00000000" w:csb0="00000001"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55C1"/>
    <w:rsid w:val="00034616"/>
    <w:rsid w:val="00044F37"/>
    <w:rsid w:val="0006063C"/>
    <w:rsid w:val="000D3526"/>
    <w:rsid w:val="000E7366"/>
    <w:rsid w:val="0015074B"/>
    <w:rsid w:val="002514EB"/>
    <w:rsid w:val="00281316"/>
    <w:rsid w:val="0029639D"/>
    <w:rsid w:val="00326F90"/>
    <w:rsid w:val="005356D5"/>
    <w:rsid w:val="00850E65"/>
    <w:rsid w:val="00935A55"/>
    <w:rsid w:val="00A20F40"/>
    <w:rsid w:val="00A24793"/>
    <w:rsid w:val="00AA1D8D"/>
    <w:rsid w:val="00AA4828"/>
    <w:rsid w:val="00AA6168"/>
    <w:rsid w:val="00AB44A4"/>
    <w:rsid w:val="00B47730"/>
    <w:rsid w:val="00CB0664"/>
    <w:rsid w:val="00F13397"/>
    <w:rsid w:val="00F30EF6"/>
    <w:rsid w:val="00F650D1"/>
    <w:rsid w:val="00F80D1B"/>
    <w:rsid w:val="00FC693F"/>
    <w:rsid w:val="00FE3B4D"/>
    <w:rsid w:val="0CF366D1"/>
    <w:rsid w:val="19223C85"/>
    <w:rsid w:val="27020139"/>
    <w:rsid w:val="33FD2483"/>
    <w:rsid w:val="3FDE0B15"/>
    <w:rsid w:val="48350DA8"/>
    <w:rsid w:val="53253459"/>
    <w:rsid w:val="57B3599A"/>
    <w:rsid w:val="B7F9BAF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66091"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4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4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3F3F3F" w:themeColor="text1" w:themeTint="BF"/>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3F3F3F" w:themeColor="text1" w:themeTint="BF"/>
      <w:sz w:val="20"/>
      <w:szCs w:val="20"/>
    </w:rPr>
  </w:style>
  <w:style w:type="character" w:default="1" w:styleId="11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华文仿宋" w:hAnsi="华文仿宋"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36"/>
    <w:unhideWhenUsed/>
    <w:qFormat/>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semiHidden/>
    <w:unhideWhenUsed/>
    <w:qFormat/>
    <w:uiPriority w:val="99"/>
    <w:pPr>
      <w:spacing w:before="100" w:beforeAutospacing="1" w:after="100" w:afterAutospacing="1" w:line="240" w:lineRule="auto"/>
    </w:pPr>
    <w:rPr>
      <w:rFonts w:ascii="宋体" w:hAnsi="宋体" w:eastAsia="宋体" w:cs="宋体"/>
      <w:sz w:val="24"/>
      <w:szCs w:val="24"/>
      <w:lang w:eastAsia="zh-CN"/>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table" w:styleId="34">
    <w:name w:val="Table Grid"/>
    <w:basedOn w:val="3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Accent 2"/>
    <w:basedOn w:val="33"/>
    <w:qFormat/>
    <w:uiPriority w:val="60"/>
    <w:rPr>
      <w:color w:val="943734"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6">
    <w:name w:val="Light Shading Accent 3"/>
    <w:basedOn w:val="33"/>
    <w:qFormat/>
    <w:uiPriority w:val="60"/>
    <w:rPr>
      <w:color w:val="7692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7">
    <w:name w:val="Light Shading Accent 4"/>
    <w:basedOn w:val="33"/>
    <w:qFormat/>
    <w:uiPriority w:val="60"/>
    <w:rPr>
      <w:color w:val="5F497A"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8">
    <w:name w:val="Light Shading Accent 5"/>
    <w:basedOn w:val="33"/>
    <w:qFormat/>
    <w:uiPriority w:val="60"/>
    <w:rPr>
      <w:color w:val="31849B"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39">
    <w:name w:val="Light Shading Accent 6"/>
    <w:basedOn w:val="33"/>
    <w:qFormat/>
    <w:uiPriority w:val="60"/>
    <w:rPr>
      <w:color w:val="E36C09"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0">
    <w:name w:val="Light List Accent 2"/>
    <w:basedOn w:val="33"/>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1">
    <w:name w:val="Light List Accent 3"/>
    <w:basedOn w:val="33"/>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2">
    <w:name w:val="Light List Accent 4"/>
    <w:basedOn w:val="33"/>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3">
    <w:name w:val="Light List Accent 5"/>
    <w:basedOn w:val="33"/>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4">
    <w:name w:val="Light List Accent 6"/>
    <w:basedOn w:val="33"/>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5">
    <w:name w:val="Light Grid Accent 2"/>
    <w:basedOn w:val="33"/>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46">
    <w:name w:val="Light Grid Accent 3"/>
    <w:basedOn w:val="33"/>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47">
    <w:name w:val="Light Grid Accent 4"/>
    <w:basedOn w:val="33"/>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48">
    <w:name w:val="Light Grid Accent 5"/>
    <w:basedOn w:val="33"/>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49">
    <w:name w:val="Light Grid Accent 6"/>
    <w:basedOn w:val="33"/>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0">
    <w:name w:val="Medium Shading 1 Accent 2"/>
    <w:basedOn w:val="33"/>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1">
    <w:name w:val="Medium Shading 1 Accent 3"/>
    <w:basedOn w:val="33"/>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2">
    <w:name w:val="Medium Shading 1 Accent 4"/>
    <w:basedOn w:val="33"/>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53">
    <w:name w:val="Medium Shading 1 Accent 5"/>
    <w:basedOn w:val="33"/>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54">
    <w:name w:val="Medium Shading 1 Accent 6"/>
    <w:basedOn w:val="33"/>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55">
    <w:name w:val="Medium Shading 2 Accent 2"/>
    <w:basedOn w:val="33"/>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56">
    <w:name w:val="Medium Shading 2 Accent 3"/>
    <w:basedOn w:val="33"/>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57">
    <w:name w:val="Medium Shading 2 Accent 4"/>
    <w:basedOn w:val="33"/>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58">
    <w:name w:val="Medium Shading 2 Accent 5"/>
    <w:basedOn w:val="33"/>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59">
    <w:name w:val="Medium Shading 2 Accent 6"/>
    <w:basedOn w:val="33"/>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0">
    <w:name w:val="Medium List 1 Accent 2"/>
    <w:basedOn w:val="33"/>
    <w:qFormat/>
    <w:uiPriority w:val="65"/>
    <w:rPr>
      <w:color w:val="000000" w:themeColor="text1"/>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61">
    <w:name w:val="Medium List 1 Accent 3"/>
    <w:basedOn w:val="33"/>
    <w:qFormat/>
    <w:uiPriority w:val="65"/>
    <w:rPr>
      <w:color w:val="000000" w:themeColor="text1"/>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2">
    <w:name w:val="Medium List 1 Accent 4"/>
    <w:basedOn w:val="33"/>
    <w:qFormat/>
    <w:uiPriority w:val="65"/>
    <w:rPr>
      <w:color w:val="000000" w:themeColor="text1"/>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3">
    <w:name w:val="Medium List 1 Accent 5"/>
    <w:basedOn w:val="33"/>
    <w:qFormat/>
    <w:uiPriority w:val="65"/>
    <w:rPr>
      <w:color w:val="000000" w:themeColor="text1"/>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64">
    <w:name w:val="Medium List 1 Accent 6"/>
    <w:basedOn w:val="33"/>
    <w:qFormat/>
    <w:uiPriority w:val="65"/>
    <w:rPr>
      <w:color w:val="000000" w:themeColor="text1"/>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65">
    <w:name w:val="Medium List 2 Accent 1"/>
    <w:basedOn w:val="33"/>
    <w:qFormat/>
    <w:uiPriority w:val="66"/>
    <w:rPr>
      <w:rFonts w:asciiTheme="majorHAnsi" w:hAnsiTheme="majorHAnsi" w:eastAsiaTheme="majorEastAsia" w:cstheme="majorBidi"/>
      <w:color w:val="000000" w:themeColor="text1"/>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66">
    <w:name w:val="Medium List 2 Accent 2"/>
    <w:basedOn w:val="33"/>
    <w:qFormat/>
    <w:uiPriority w:val="66"/>
    <w:rPr>
      <w:rFonts w:asciiTheme="majorHAnsi" w:hAnsiTheme="majorHAnsi" w:eastAsiaTheme="majorEastAsia" w:cstheme="majorBidi"/>
      <w:color w:val="000000" w:themeColor="text1"/>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67">
    <w:name w:val="Medium List 2 Accent 3"/>
    <w:basedOn w:val="33"/>
    <w:qFormat/>
    <w:uiPriority w:val="66"/>
    <w:rPr>
      <w:rFonts w:asciiTheme="majorHAnsi" w:hAnsiTheme="majorHAnsi" w:eastAsiaTheme="majorEastAsia" w:cstheme="majorBidi"/>
      <w:color w:val="000000" w:themeColor="text1"/>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68">
    <w:name w:val="Medium List 2 Accent 4"/>
    <w:basedOn w:val="33"/>
    <w:qFormat/>
    <w:uiPriority w:val="66"/>
    <w:rPr>
      <w:rFonts w:asciiTheme="majorHAnsi" w:hAnsiTheme="majorHAnsi" w:eastAsiaTheme="majorEastAsia" w:cstheme="majorBidi"/>
      <w:color w:val="000000" w:themeColor="text1"/>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69">
    <w:name w:val="Medium List 2 Accent 5"/>
    <w:basedOn w:val="33"/>
    <w:qFormat/>
    <w:uiPriority w:val="66"/>
    <w:rPr>
      <w:rFonts w:asciiTheme="majorHAnsi" w:hAnsiTheme="majorHAnsi" w:eastAsiaTheme="majorEastAsia" w:cstheme="majorBidi"/>
      <w:color w:val="000000" w:themeColor="text1"/>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0">
    <w:name w:val="Medium List 2 Accent 6"/>
    <w:basedOn w:val="33"/>
    <w:qFormat/>
    <w:uiPriority w:val="66"/>
    <w:rPr>
      <w:rFonts w:asciiTheme="majorHAnsi" w:hAnsiTheme="majorHAnsi" w:eastAsiaTheme="majorEastAsia" w:cstheme="majorBidi"/>
      <w:color w:val="000000" w:themeColor="text1"/>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71">
    <w:name w:val="Medium Grid 1 Accent 1"/>
    <w:basedOn w:val="33"/>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72">
    <w:name w:val="Medium Grid 1 Accent 2"/>
    <w:basedOn w:val="33"/>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73">
    <w:name w:val="Medium Grid 1 Accent 3"/>
    <w:basedOn w:val="33"/>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74">
    <w:name w:val="Medium Grid 1 Accent 4"/>
    <w:basedOn w:val="33"/>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75">
    <w:name w:val="Medium Grid 1 Accent 5"/>
    <w:basedOn w:val="33"/>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76">
    <w:name w:val="Medium Grid 1 Accent 6"/>
    <w:basedOn w:val="33"/>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77">
    <w:name w:val="Medium Grid 2 Accent 1"/>
    <w:basedOn w:val="33"/>
    <w:qFormat/>
    <w:uiPriority w:val="68"/>
    <w:rPr>
      <w:rFonts w:asciiTheme="majorHAnsi" w:hAnsiTheme="majorHAnsi" w:eastAsiaTheme="majorEastAsia" w:cstheme="majorBidi"/>
      <w:color w:val="000000" w:themeColor="text1"/>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78">
    <w:name w:val="Medium Grid 2 Accent 2"/>
    <w:basedOn w:val="33"/>
    <w:qFormat/>
    <w:uiPriority w:val="68"/>
    <w:rPr>
      <w:rFonts w:asciiTheme="majorHAnsi" w:hAnsiTheme="majorHAnsi" w:eastAsiaTheme="majorEastAsia" w:cstheme="majorBidi"/>
      <w:color w:val="000000" w:themeColor="text1"/>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79">
    <w:name w:val="Medium Grid 2 Accent 3"/>
    <w:basedOn w:val="33"/>
    <w:qFormat/>
    <w:uiPriority w:val="68"/>
    <w:rPr>
      <w:rFonts w:asciiTheme="majorHAnsi" w:hAnsiTheme="majorHAnsi" w:eastAsiaTheme="majorEastAsia" w:cstheme="majorBidi"/>
      <w:color w:val="000000" w:themeColor="text1"/>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80">
    <w:name w:val="Medium Grid 2 Accent 4"/>
    <w:basedOn w:val="33"/>
    <w:qFormat/>
    <w:uiPriority w:val="68"/>
    <w:rPr>
      <w:rFonts w:asciiTheme="majorHAnsi" w:hAnsiTheme="majorHAnsi" w:eastAsiaTheme="majorEastAsia" w:cstheme="majorBidi"/>
      <w:color w:val="000000" w:themeColor="text1"/>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5"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81">
    <w:name w:val="Medium Grid 2 Accent 5"/>
    <w:basedOn w:val="33"/>
    <w:qFormat/>
    <w:uiPriority w:val="68"/>
    <w:rPr>
      <w:rFonts w:asciiTheme="majorHAnsi" w:hAnsiTheme="majorHAnsi" w:eastAsiaTheme="majorEastAsia" w:cstheme="majorBidi"/>
      <w:color w:val="000000" w:themeColor="text1"/>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82">
    <w:name w:val="Medium Grid 2 Accent 6"/>
    <w:basedOn w:val="33"/>
    <w:qFormat/>
    <w:uiPriority w:val="68"/>
    <w:rPr>
      <w:rFonts w:asciiTheme="majorHAnsi" w:hAnsiTheme="majorHAnsi" w:eastAsiaTheme="majorEastAsia" w:cstheme="majorBidi"/>
      <w:color w:val="000000" w:themeColor="text1"/>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83">
    <w:name w:val="Medium Grid 3 Accent 1"/>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84">
    <w:name w:val="Medium Grid 3 Accent 2"/>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85">
    <w:name w:val="Medium Grid 3 Accent 3"/>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86">
    <w:name w:val="Medium Grid 3 Accent 4"/>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87">
    <w:name w:val="Medium Grid 3 Accent 5"/>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88">
    <w:name w:val="Medium Grid 3 Accent 6"/>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89">
    <w:name w:val="Dark List Accent 1"/>
    <w:basedOn w:val="33"/>
    <w:qFormat/>
    <w:uiPriority w:val="70"/>
    <w:rPr>
      <w:color w:val="FFFFFF" w:themeColor="background1"/>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90">
    <w:name w:val="Dark List Accent 2"/>
    <w:basedOn w:val="33"/>
    <w:qFormat/>
    <w:uiPriority w:val="70"/>
    <w:rPr>
      <w:color w:val="FFFFFF" w:themeColor="background1"/>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91">
    <w:name w:val="Dark List Accent 3"/>
    <w:basedOn w:val="33"/>
    <w:qFormat/>
    <w:uiPriority w:val="70"/>
    <w:rPr>
      <w:color w:val="FFFFFF" w:themeColor="background1"/>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92">
    <w:name w:val="Dark List Accent 4"/>
    <w:basedOn w:val="33"/>
    <w:qFormat/>
    <w:uiPriority w:val="70"/>
    <w:rPr>
      <w:color w:val="FFFFFF" w:themeColor="background1"/>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93">
    <w:name w:val="Dark List Accent 5"/>
    <w:basedOn w:val="33"/>
    <w:qFormat/>
    <w:uiPriority w:val="70"/>
    <w:rPr>
      <w:color w:val="FFFFFF" w:themeColor="background1"/>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94">
    <w:name w:val="Dark List Accent 6"/>
    <w:basedOn w:val="33"/>
    <w:qFormat/>
    <w:uiPriority w:val="70"/>
    <w:rPr>
      <w:color w:val="FFFFFF" w:themeColor="background1"/>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95">
    <w:name w:val="Colorful Shading Accent 1"/>
    <w:basedOn w:val="33"/>
    <w:qFormat/>
    <w:uiPriority w:val="71"/>
    <w:rPr>
      <w:color w:val="000000" w:themeColor="text1"/>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B4D74" w:themeFill="accent1"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rPr>
    </w:tblStylePr>
    <w:tblStylePr w:type="nwCell">
      <w:rPr>
        <w:color w:val="000000" w:themeColor="text1"/>
      </w:rPr>
    </w:tblStylePr>
  </w:style>
  <w:style w:type="table" w:styleId="96">
    <w:name w:val="Colorful Shading Accent 2"/>
    <w:basedOn w:val="33"/>
    <w:qFormat/>
    <w:uiPriority w:val="71"/>
    <w:rPr>
      <w:color w:val="000000" w:themeColor="text1"/>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97">
    <w:name w:val="Colorful Shading Accent 3"/>
    <w:basedOn w:val="33"/>
    <w:qFormat/>
    <w:uiPriority w:val="71"/>
    <w:rPr>
      <w:color w:val="000000" w:themeColor="text1"/>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98">
    <w:name w:val="Colorful Shading Accent 4"/>
    <w:basedOn w:val="33"/>
    <w:qFormat/>
    <w:uiPriority w:val="71"/>
    <w:rPr>
      <w:color w:val="000000" w:themeColor="text1"/>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A62" w:themeFill="accent4"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99">
    <w:name w:val="Colorful Shading Accent 5"/>
    <w:basedOn w:val="33"/>
    <w:qFormat/>
    <w:uiPriority w:val="71"/>
    <w:rPr>
      <w:color w:val="000000" w:themeColor="text1"/>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00">
    <w:name w:val="Colorful Shading Accent 6"/>
    <w:basedOn w:val="33"/>
    <w:qFormat/>
    <w:uiPriority w:val="71"/>
    <w:rPr>
      <w:color w:val="000000" w:themeColor="text1"/>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7" w:themeFill="accent6"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01">
    <w:name w:val="Colorful List Accent 1"/>
    <w:basedOn w:val="33"/>
    <w:qFormat/>
    <w:uiPriority w:val="72"/>
    <w:rPr>
      <w:color w:val="000000" w:themeColor="text1"/>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02">
    <w:name w:val="Colorful List Accent 2"/>
    <w:basedOn w:val="33"/>
    <w:qFormat/>
    <w:uiPriority w:val="72"/>
    <w:rPr>
      <w:color w:val="000000" w:themeColor="text1"/>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03">
    <w:name w:val="Colorful List Accent 3"/>
    <w:basedOn w:val="33"/>
    <w:qFormat/>
    <w:uiPriority w:val="72"/>
    <w:rPr>
      <w:color w:val="000000" w:themeColor="text1"/>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04">
    <w:name w:val="Colorful List Accent 4"/>
    <w:basedOn w:val="33"/>
    <w:qFormat/>
    <w:uiPriority w:val="72"/>
    <w:rPr>
      <w:color w:val="000000" w:themeColor="text1"/>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05">
    <w:name w:val="Colorful List Accent 5"/>
    <w:basedOn w:val="33"/>
    <w:qFormat/>
    <w:uiPriority w:val="72"/>
    <w:rPr>
      <w:color w:val="000000" w:themeColor="text1"/>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3730A" w:themeFill="accent6" w:themeFillShade="CC"/>
      </w:tcPr>
    </w:tblStylePr>
    <w:tblStylePr w:type="lastRow">
      <w:rPr>
        <w:b/>
        <w:bCs/>
        <w:color w:val="F3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06">
    <w:name w:val="Colorful List Accent 6"/>
    <w:basedOn w:val="33"/>
    <w:qFormat/>
    <w:uiPriority w:val="72"/>
    <w:rPr>
      <w:color w:val="000000" w:themeColor="text1"/>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07">
    <w:name w:val="Colorful Grid Accent 1"/>
    <w:basedOn w:val="33"/>
    <w:qFormat/>
    <w:uiPriority w:val="73"/>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6091" w:themeFill="accent1" w:themeFillShade="BF"/>
      </w:tcPr>
    </w:tblStylePr>
    <w:tblStylePr w:type="lastCol">
      <w:rPr>
        <w:color w:val="FFFFFF" w:themeColor="background1"/>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08">
    <w:name w:val="Colorful Grid Accent 2"/>
    <w:basedOn w:val="33"/>
    <w:qFormat/>
    <w:uiPriority w:val="73"/>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734" w:themeFill="accent2" w:themeFillShade="BF"/>
      </w:tcPr>
    </w:tblStylePr>
    <w:tblStylePr w:type="lastCol">
      <w:rPr>
        <w:color w:val="FFFFFF" w:themeColor="background1"/>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09">
    <w:name w:val="Colorful Grid Accent 3"/>
    <w:basedOn w:val="33"/>
    <w:qFormat/>
    <w:uiPriority w:val="73"/>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10">
    <w:name w:val="Colorful Grid Accent 4"/>
    <w:basedOn w:val="33"/>
    <w:qFormat/>
    <w:uiPriority w:val="73"/>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11">
    <w:name w:val="Colorful Grid Accent 5"/>
    <w:basedOn w:val="33"/>
    <w:qFormat/>
    <w:uiPriority w:val="73"/>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12">
    <w:name w:val="Colorful Grid Accent 6"/>
    <w:basedOn w:val="33"/>
    <w:qFormat/>
    <w:uiPriority w:val="73"/>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9" w:themeFill="accent6" w:themeFillShade="BF"/>
      </w:tcPr>
    </w:tblStylePr>
    <w:tblStylePr w:type="lastCol">
      <w:rPr>
        <w:color w:val="FFFFFF" w:themeColor="background1"/>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14">
    <w:name w:val="Strong"/>
    <w:basedOn w:val="113"/>
    <w:qFormat/>
    <w:uiPriority w:val="22"/>
    <w:rPr>
      <w:b/>
      <w:bCs/>
    </w:rPr>
  </w:style>
  <w:style w:type="character" w:styleId="115">
    <w:name w:val="Emphasis"/>
    <w:basedOn w:val="113"/>
    <w:qFormat/>
    <w:uiPriority w:val="20"/>
    <w:rPr>
      <w:i/>
      <w:iCs/>
    </w:rPr>
  </w:style>
  <w:style w:type="table" w:customStyle="1" w:styleId="116">
    <w:name w:val="浅色底纹1"/>
    <w:basedOn w:val="33"/>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customStyle="1" w:styleId="117">
    <w:name w:val="浅色底纹 - 强调文字颜色 11"/>
    <w:basedOn w:val="33"/>
    <w:qFormat/>
    <w:uiPriority w:val="60"/>
    <w:rPr>
      <w:color w:val="366091"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3DFEE" w:themeFill="accent1" w:themeFillTint="3F"/>
      </w:tcPr>
    </w:tblStylePr>
    <w:tblStylePr w:type="band1Horz">
      <w:tcPr>
        <w:tcBorders>
          <w:left w:val="nil"/>
          <w:right w:val="nil"/>
          <w:insideH w:val="nil"/>
          <w:insideV w:val="nil"/>
        </w:tcBorders>
        <w:shd w:val="clear" w:color="auto" w:fill="D3DFEE" w:themeFill="accent1" w:themeFillTint="3F"/>
      </w:tcPr>
    </w:tblStylePr>
  </w:style>
  <w:style w:type="table" w:customStyle="1" w:styleId="118">
    <w:name w:val="浅色列表1"/>
    <w:basedOn w:val="33"/>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cPr>
        <w:shd w:val="clear" w:color="auto" w:fill="000000" w:themeFill="text1"/>
      </w:tcPr>
    </w:tblStylePr>
    <w:tblStylePr w:type="lastRow">
      <w:pPr>
        <w:spacing w:before="0" w:after="0" w:line="24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customStyle="1" w:styleId="119">
    <w:name w:val="浅色列表 - 强调文字颜色 11"/>
    <w:basedOn w:val="33"/>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cPr>
        <w:shd w:val="clear" w:color="auto" w:fill="4F81BD" w:themeFill="accent1"/>
      </w:tcPr>
    </w:tblStylePr>
    <w:tblStylePr w:type="lastRow">
      <w:pPr>
        <w:spacing w:before="0" w:after="0" w:line="240" w:lineRule="auto"/>
      </w:pPr>
      <w:rPr>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customStyle="1" w:styleId="120">
    <w:name w:val="浅色网格1"/>
    <w:basedOn w:val="33"/>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customStyle="1" w:styleId="121">
    <w:name w:val="浅色网格 - 强调文字颜色 11"/>
    <w:basedOn w:val="33"/>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customStyle="1" w:styleId="122">
    <w:name w:val="中等深浅底纹 11"/>
    <w:basedOn w:val="33"/>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customStyle="1" w:styleId="123">
    <w:name w:val="中等深浅底纹 1 - 强调文字颜色 11"/>
    <w:basedOn w:val="33"/>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3DFEE" w:themeFill="accent1" w:themeFillTint="3F"/>
      </w:tcPr>
    </w:tblStylePr>
    <w:tblStylePr w:type="band1Horz">
      <w:tcPr>
        <w:tcBorders>
          <w:insideH w:val="nil"/>
          <w:insideV w:val="nil"/>
        </w:tcBorders>
        <w:shd w:val="clear" w:color="auto" w:fill="D3DFEE" w:themeFill="accent1" w:themeFillTint="3F"/>
      </w:tcPr>
    </w:tblStylePr>
    <w:tblStylePr w:type="band2Horz">
      <w:tcPr>
        <w:tcBorders>
          <w:insideH w:val="nil"/>
          <w:insideV w:val="nil"/>
        </w:tcBorders>
      </w:tcPr>
    </w:tblStylePr>
  </w:style>
  <w:style w:type="table" w:customStyle="1" w:styleId="124">
    <w:name w:val="中等深浅底纹 21"/>
    <w:basedOn w:val="33"/>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rPr>
      <w:tcPr>
        <w:tcBorders>
          <w:top w:val="single" w:color="auto" w:sz="18" w:space="0"/>
          <w:left w:val="nil"/>
          <w:bottom w:val="single" w:color="auto" w:sz="18" w:space="0"/>
          <w:right w:val="nil"/>
          <w:insideH w:val="nil"/>
          <w:insideV w:val="nil"/>
        </w:tcBorders>
      </w:tcPr>
    </w:tblStylePr>
  </w:style>
  <w:style w:type="table" w:customStyle="1" w:styleId="125">
    <w:name w:val="中等深浅底纹 2 - 强调文字颜色 11"/>
    <w:basedOn w:val="33"/>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cPr>
        <w:tcBorders>
          <w:left w:val="nil"/>
          <w:right w:val="nil"/>
          <w:insideH w:val="nil"/>
          <w:insideV w:val="nil"/>
        </w:tcBorders>
        <w:shd w:val="clear" w:color="auto" w:fill="4F81BD"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rPr>
      <w:tcPr>
        <w:tcBorders>
          <w:top w:val="single" w:color="auto" w:sz="18" w:space="0"/>
          <w:left w:val="nil"/>
          <w:bottom w:val="single" w:color="auto" w:sz="18" w:space="0"/>
          <w:right w:val="nil"/>
          <w:insideH w:val="nil"/>
          <w:insideV w:val="nil"/>
        </w:tcBorders>
      </w:tcPr>
    </w:tblStylePr>
  </w:style>
  <w:style w:type="table" w:customStyle="1" w:styleId="126">
    <w:name w:val="中等深浅列表 11"/>
    <w:basedOn w:val="33"/>
    <w:qFormat/>
    <w:uiPriority w:val="65"/>
    <w:rPr>
      <w:color w:val="000000" w:themeColor="text1"/>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1F497D" w:themeColor="text2"/>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customStyle="1" w:styleId="127">
    <w:name w:val="中等深浅列表 1 - 强调文字颜色 11"/>
    <w:basedOn w:val="33"/>
    <w:qFormat/>
    <w:uiPriority w:val="65"/>
    <w:rPr>
      <w:color w:val="000000" w:themeColor="text1"/>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F81BD" w:themeColor="accent1" w:sz="8" w:space="0"/>
        </w:tcBorders>
      </w:tcPr>
    </w:tblStylePr>
    <w:tblStylePr w:type="lastRow">
      <w:rPr>
        <w:b/>
        <w:bCs/>
        <w:color w:val="1F497D" w:themeColor="text2"/>
      </w:rPr>
      <w:tcPr>
        <w:tcBorders>
          <w:top w:val="single" w:color="4F81BD" w:themeColor="accent1" w:sz="8" w:space="0"/>
          <w:bottom w:val="single" w:color="4F81BD" w:themeColor="accent1" w:sz="8" w:space="0"/>
        </w:tcBorders>
      </w:tcPr>
    </w:tblStylePr>
    <w:tblStylePr w:type="firstCol">
      <w:rPr>
        <w:b/>
        <w:bCs/>
      </w:rPr>
    </w:tblStylePr>
    <w:tblStylePr w:type="lastCol">
      <w:rPr>
        <w:b/>
        <w:bCs/>
      </w:rPr>
      <w:tcPr>
        <w:tcBorders>
          <w:top w:val="single" w:color="4F81BD" w:themeColor="accent1" w:sz="8" w:space="0"/>
          <w:bottom w:val="single" w:color="4F81BD" w:themeColor="accent1" w:sz="8" w:space="0"/>
        </w:tcBorders>
      </w:tcPr>
    </w:tblStylePr>
    <w:tblStylePr w:type="band1Vert">
      <w:tcPr>
        <w:shd w:val="clear" w:color="auto" w:fill="D3DFEE" w:themeFill="accent1" w:themeFillTint="3F"/>
      </w:tcPr>
    </w:tblStylePr>
    <w:tblStylePr w:type="band1Horz">
      <w:tcPr>
        <w:shd w:val="clear" w:color="auto" w:fill="D3DFEE" w:themeFill="accent1" w:themeFillTint="3F"/>
      </w:tcPr>
    </w:tblStylePr>
  </w:style>
  <w:style w:type="table" w:customStyle="1" w:styleId="128">
    <w:name w:val="中等深浅列表 21"/>
    <w:basedOn w:val="33"/>
    <w:qFormat/>
    <w:uiPriority w:val="66"/>
    <w:rPr>
      <w:rFonts w:asciiTheme="majorHAnsi" w:hAnsiTheme="majorHAnsi" w:eastAsiaTheme="majorEastAsia" w:cstheme="majorBidi"/>
      <w:color w:val="000000" w:themeColor="text1"/>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customStyle="1" w:styleId="129">
    <w:name w:val="中等深浅网格 11"/>
    <w:basedOn w:val="33"/>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customStyle="1" w:styleId="130">
    <w:name w:val="中等深浅网格 21"/>
    <w:basedOn w:val="33"/>
    <w:qFormat/>
    <w:uiPriority w:val="68"/>
    <w:rPr>
      <w:rFonts w:asciiTheme="majorHAnsi" w:hAnsiTheme="majorHAnsi" w:eastAsiaTheme="majorEastAsia" w:cstheme="majorBidi"/>
      <w:color w:val="000000" w:themeColor="text1"/>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rPr>
      <w:tcPr>
        <w:shd w:val="clear" w:color="auto" w:fill="E5E5E5" w:themeFill="text1" w:themeFillTint="19"/>
      </w:tcPr>
    </w:tblStylePr>
    <w:tblStylePr w:type="lastRow">
      <w:rPr>
        <w:b/>
        <w:bCs/>
        <w:color w:val="000000" w:themeColor="text1"/>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customStyle="1" w:styleId="131">
    <w:name w:val="中等深浅网格 31"/>
    <w:basedOn w:val="33"/>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customStyle="1" w:styleId="132">
    <w:name w:val="深色列表1"/>
    <w:basedOn w:val="33"/>
    <w:qFormat/>
    <w:uiPriority w:val="70"/>
    <w:rPr>
      <w:color w:val="FFFFFF" w:themeColor="background1"/>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customStyle="1" w:styleId="133">
    <w:name w:val="彩色底纹1"/>
    <w:basedOn w:val="33"/>
    <w:qFormat/>
    <w:uiPriority w:val="71"/>
    <w:rPr>
      <w:color w:val="000000" w:themeColor="text1"/>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cPr>
        <w:tcBorders>
          <w:top w:val="single" w:color="FFFFFF" w:themeColor="background1" w:sz="6" w:space="0"/>
        </w:tcBorders>
        <w:shd w:val="clear" w:color="auto" w:fill="000000" w:themeFill="text1" w:themeFillShade="99"/>
      </w:tcPr>
    </w:tblStylePr>
    <w:tblStylePr w:type="firstCol">
      <w:rPr>
        <w:color w:val="FFFFFF" w:themeColor="background1"/>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rPr>
    </w:tblStylePr>
    <w:tblStylePr w:type="nwCell">
      <w:rPr>
        <w:color w:val="000000" w:themeColor="text1"/>
      </w:rPr>
    </w:tblStylePr>
  </w:style>
  <w:style w:type="table" w:customStyle="1" w:styleId="134">
    <w:name w:val="彩色列表1"/>
    <w:basedOn w:val="33"/>
    <w:qFormat/>
    <w:uiPriority w:val="72"/>
    <w:rPr>
      <w:color w:val="000000" w:themeColor="text1"/>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r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customStyle="1" w:styleId="135">
    <w:name w:val="彩色网格1"/>
    <w:basedOn w:val="33"/>
    <w:qFormat/>
    <w:uiPriority w:val="73"/>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rPr>
      <w:tcPr>
        <w:shd w:val="clear" w:color="auto" w:fill="999999" w:themeFill="text1" w:themeFillTint="66"/>
      </w:tcPr>
    </w:tblStylePr>
    <w:tblStylePr w:type="firstCol">
      <w:rPr>
        <w:color w:val="FFFFFF" w:themeColor="background1"/>
      </w:rPr>
      <w:tcPr>
        <w:shd w:val="clear" w:color="auto" w:fill="000000" w:themeFill="text1" w:themeFillShade="BF"/>
      </w:tcPr>
    </w:tblStylePr>
    <w:tblStylePr w:type="lastCol">
      <w:rPr>
        <w:color w:val="FFFFFF" w:themeColor="background1"/>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character" w:customStyle="1" w:styleId="136">
    <w:name w:val="页眉 Char"/>
    <w:basedOn w:val="113"/>
    <w:link w:val="25"/>
    <w:qFormat/>
    <w:uiPriority w:val="99"/>
  </w:style>
  <w:style w:type="character" w:customStyle="1" w:styleId="137">
    <w:name w:val="页脚 Char"/>
    <w:basedOn w:val="113"/>
    <w:link w:val="24"/>
    <w:qFormat/>
    <w:uiPriority w:val="99"/>
  </w:style>
  <w:style w:type="paragraph" w:styleId="138">
    <w:name w:val="No Spacing"/>
    <w:qFormat/>
    <w:uiPriority w:val="1"/>
    <w:rPr>
      <w:rFonts w:asciiTheme="minorHAnsi" w:hAnsiTheme="minorHAnsi" w:eastAsiaTheme="minorEastAsia" w:cstheme="minorBidi"/>
      <w:sz w:val="22"/>
      <w:szCs w:val="22"/>
      <w:lang w:val="en-US" w:eastAsia="en-US" w:bidi="ar-SA"/>
    </w:rPr>
  </w:style>
  <w:style w:type="character" w:customStyle="1" w:styleId="139">
    <w:name w:val="标题 1 Char"/>
    <w:basedOn w:val="113"/>
    <w:link w:val="3"/>
    <w:qFormat/>
    <w:uiPriority w:val="9"/>
    <w:rPr>
      <w:rFonts w:asciiTheme="majorHAnsi" w:hAnsiTheme="majorHAnsi" w:eastAsiaTheme="majorEastAsia" w:cstheme="majorBidi"/>
      <w:b/>
      <w:bCs/>
      <w:color w:val="366091" w:themeColor="accent1" w:themeShade="BF"/>
      <w:sz w:val="28"/>
      <w:szCs w:val="28"/>
    </w:rPr>
  </w:style>
  <w:style w:type="character" w:customStyle="1" w:styleId="140">
    <w:name w:val="标题 2 Char"/>
    <w:basedOn w:val="113"/>
    <w:link w:val="4"/>
    <w:qFormat/>
    <w:uiPriority w:val="9"/>
    <w:rPr>
      <w:rFonts w:asciiTheme="majorHAnsi" w:hAnsiTheme="majorHAnsi" w:eastAsiaTheme="majorEastAsia" w:cstheme="majorBidi"/>
      <w:b/>
      <w:bCs/>
      <w:color w:val="4F81BD" w:themeColor="accent1"/>
      <w:sz w:val="26"/>
      <w:szCs w:val="26"/>
    </w:rPr>
  </w:style>
  <w:style w:type="character" w:customStyle="1" w:styleId="141">
    <w:name w:val="标题 3 Char"/>
    <w:basedOn w:val="113"/>
    <w:link w:val="5"/>
    <w:qFormat/>
    <w:uiPriority w:val="9"/>
    <w:rPr>
      <w:rFonts w:asciiTheme="majorHAnsi" w:hAnsiTheme="majorHAnsi" w:eastAsiaTheme="majorEastAsia" w:cstheme="majorBidi"/>
      <w:b/>
      <w:bCs/>
      <w:color w:val="4F81BD" w:themeColor="accent1"/>
    </w:rPr>
  </w:style>
  <w:style w:type="character" w:customStyle="1" w:styleId="142">
    <w:name w:val="标题 Char"/>
    <w:basedOn w:val="113"/>
    <w:link w:val="32"/>
    <w:qFormat/>
    <w:uiPriority w:val="10"/>
    <w:rPr>
      <w:rFonts w:asciiTheme="majorHAnsi" w:hAnsiTheme="majorHAnsi" w:eastAsiaTheme="majorEastAsia" w:cstheme="majorBidi"/>
      <w:color w:val="17365D" w:themeColor="text2" w:themeShade="BF"/>
      <w:spacing w:val="5"/>
      <w:kern w:val="28"/>
      <w:sz w:val="52"/>
      <w:szCs w:val="52"/>
    </w:rPr>
  </w:style>
  <w:style w:type="character" w:customStyle="1" w:styleId="143">
    <w:name w:val="副标题 Char"/>
    <w:basedOn w:val="113"/>
    <w:link w:val="26"/>
    <w:qFormat/>
    <w:uiPriority w:val="11"/>
    <w:rPr>
      <w:rFonts w:asciiTheme="majorHAnsi" w:hAnsiTheme="majorHAnsi" w:eastAsiaTheme="majorEastAsia" w:cstheme="majorBidi"/>
      <w:i/>
      <w:iCs/>
      <w:color w:val="4F81BD" w:themeColor="accent1"/>
      <w:spacing w:val="15"/>
      <w:sz w:val="24"/>
      <w:szCs w:val="24"/>
    </w:rPr>
  </w:style>
  <w:style w:type="paragraph" w:styleId="144">
    <w:name w:val="List Paragraph"/>
    <w:basedOn w:val="1"/>
    <w:qFormat/>
    <w:uiPriority w:val="34"/>
    <w:pPr>
      <w:ind w:left="720"/>
      <w:contextualSpacing/>
    </w:pPr>
  </w:style>
  <w:style w:type="character" w:customStyle="1" w:styleId="145">
    <w:name w:val="正文文本 Char"/>
    <w:basedOn w:val="113"/>
    <w:link w:val="19"/>
    <w:qFormat/>
    <w:uiPriority w:val="99"/>
  </w:style>
  <w:style w:type="character" w:customStyle="1" w:styleId="146">
    <w:name w:val="正文文本 2 Char"/>
    <w:basedOn w:val="113"/>
    <w:link w:val="28"/>
    <w:qFormat/>
    <w:uiPriority w:val="99"/>
  </w:style>
  <w:style w:type="character" w:customStyle="1" w:styleId="147">
    <w:name w:val="正文文本 3 Char"/>
    <w:basedOn w:val="113"/>
    <w:link w:val="17"/>
    <w:qFormat/>
    <w:uiPriority w:val="99"/>
    <w:rPr>
      <w:sz w:val="16"/>
      <w:szCs w:val="16"/>
    </w:rPr>
  </w:style>
  <w:style w:type="character" w:customStyle="1" w:styleId="148">
    <w:name w:val="宏文本 Char"/>
    <w:basedOn w:val="113"/>
    <w:link w:val="2"/>
    <w:qFormat/>
    <w:uiPriority w:val="99"/>
    <w:rPr>
      <w:rFonts w:ascii="华文仿宋" w:hAnsi="华文仿宋"/>
      <w:sz w:val="20"/>
      <w:szCs w:val="20"/>
    </w:rPr>
  </w:style>
  <w:style w:type="paragraph" w:styleId="149">
    <w:name w:val="Quote"/>
    <w:basedOn w:val="1"/>
    <w:next w:val="1"/>
    <w:link w:val="150"/>
    <w:qFormat/>
    <w:uiPriority w:val="29"/>
    <w:rPr>
      <w:i/>
      <w:iCs/>
      <w:color w:val="000000" w:themeColor="text1"/>
    </w:rPr>
  </w:style>
  <w:style w:type="character" w:customStyle="1" w:styleId="150">
    <w:name w:val="引用 Char"/>
    <w:basedOn w:val="113"/>
    <w:link w:val="149"/>
    <w:qFormat/>
    <w:uiPriority w:val="29"/>
    <w:rPr>
      <w:i/>
      <w:iCs/>
      <w:color w:val="000000" w:themeColor="text1"/>
    </w:rPr>
  </w:style>
  <w:style w:type="character" w:customStyle="1" w:styleId="151">
    <w:name w:val="标题 4 Char"/>
    <w:basedOn w:val="113"/>
    <w:link w:val="6"/>
    <w:semiHidden/>
    <w:qFormat/>
    <w:uiPriority w:val="9"/>
    <w:rPr>
      <w:rFonts w:asciiTheme="majorHAnsi" w:hAnsiTheme="majorHAnsi" w:eastAsiaTheme="majorEastAsia" w:cstheme="majorBidi"/>
      <w:b/>
      <w:bCs/>
      <w:i/>
      <w:iCs/>
      <w:color w:val="4F81BD" w:themeColor="accent1"/>
    </w:rPr>
  </w:style>
  <w:style w:type="character" w:customStyle="1" w:styleId="152">
    <w:name w:val="标题 5 Char"/>
    <w:basedOn w:val="113"/>
    <w:link w:val="7"/>
    <w:semiHidden/>
    <w:qFormat/>
    <w:uiPriority w:val="9"/>
    <w:rPr>
      <w:rFonts w:asciiTheme="majorHAnsi" w:hAnsiTheme="majorHAnsi" w:eastAsiaTheme="majorEastAsia" w:cstheme="majorBidi"/>
      <w:color w:val="244061" w:themeColor="accent1" w:themeShade="80"/>
    </w:rPr>
  </w:style>
  <w:style w:type="character" w:customStyle="1" w:styleId="153">
    <w:name w:val="标题 6 Char"/>
    <w:basedOn w:val="113"/>
    <w:link w:val="8"/>
    <w:semiHidden/>
    <w:qFormat/>
    <w:uiPriority w:val="9"/>
    <w:rPr>
      <w:rFonts w:asciiTheme="majorHAnsi" w:hAnsiTheme="majorHAnsi" w:eastAsiaTheme="majorEastAsia" w:cstheme="majorBidi"/>
      <w:i/>
      <w:iCs/>
      <w:color w:val="244061" w:themeColor="accent1" w:themeShade="80"/>
    </w:rPr>
  </w:style>
  <w:style w:type="character" w:customStyle="1" w:styleId="154">
    <w:name w:val="标题 7 Char"/>
    <w:basedOn w:val="113"/>
    <w:link w:val="9"/>
    <w:semiHidden/>
    <w:qFormat/>
    <w:uiPriority w:val="9"/>
    <w:rPr>
      <w:rFonts w:asciiTheme="majorHAnsi" w:hAnsiTheme="majorHAnsi" w:eastAsiaTheme="majorEastAsia" w:cstheme="majorBidi"/>
      <w:i/>
      <w:iCs/>
      <w:color w:val="3F3F3F" w:themeColor="text1" w:themeTint="BF"/>
    </w:rPr>
  </w:style>
  <w:style w:type="character" w:customStyle="1" w:styleId="155">
    <w:name w:val="标题 8 Char"/>
    <w:basedOn w:val="113"/>
    <w:link w:val="10"/>
    <w:semiHidden/>
    <w:qFormat/>
    <w:uiPriority w:val="9"/>
    <w:rPr>
      <w:rFonts w:asciiTheme="majorHAnsi" w:hAnsiTheme="majorHAnsi" w:eastAsiaTheme="majorEastAsia" w:cstheme="majorBidi"/>
      <w:color w:val="4F81BD" w:themeColor="accent1"/>
      <w:sz w:val="20"/>
      <w:szCs w:val="20"/>
    </w:rPr>
  </w:style>
  <w:style w:type="character" w:customStyle="1" w:styleId="156">
    <w:name w:val="标题 9 Char"/>
    <w:basedOn w:val="113"/>
    <w:link w:val="11"/>
    <w:semiHidden/>
    <w:qFormat/>
    <w:uiPriority w:val="9"/>
    <w:rPr>
      <w:rFonts w:asciiTheme="majorHAnsi" w:hAnsiTheme="majorHAnsi" w:eastAsiaTheme="majorEastAsia" w:cstheme="majorBidi"/>
      <w:i/>
      <w:iCs/>
      <w:color w:val="3F3F3F" w:themeColor="text1" w:themeTint="BF"/>
      <w:sz w:val="20"/>
      <w:szCs w:val="20"/>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rPr>
  </w:style>
  <w:style w:type="character" w:customStyle="1" w:styleId="158">
    <w:name w:val="明显引用 Char"/>
    <w:basedOn w:val="113"/>
    <w:link w:val="157"/>
    <w:qFormat/>
    <w:uiPriority w:val="30"/>
    <w:rPr>
      <w:b/>
      <w:bCs/>
      <w:i/>
      <w:iCs/>
      <w:color w:val="4F81BD" w:themeColor="accent1"/>
    </w:rPr>
  </w:style>
  <w:style w:type="character" w:customStyle="1" w:styleId="159">
    <w:name w:val="不明显强调1"/>
    <w:basedOn w:val="113"/>
    <w:qFormat/>
    <w:uiPriority w:val="19"/>
    <w:rPr>
      <w:i/>
      <w:iCs/>
      <w:color w:val="7E7E7E" w:themeColor="text1" w:themeTint="80"/>
    </w:rPr>
  </w:style>
  <w:style w:type="character" w:customStyle="1" w:styleId="160">
    <w:name w:val="明显强调1"/>
    <w:basedOn w:val="113"/>
    <w:qFormat/>
    <w:uiPriority w:val="21"/>
    <w:rPr>
      <w:b/>
      <w:bCs/>
      <w:i/>
      <w:iCs/>
      <w:color w:val="4F81BD" w:themeColor="accent1"/>
    </w:rPr>
  </w:style>
  <w:style w:type="character" w:customStyle="1" w:styleId="161">
    <w:name w:val="不明显参考1"/>
    <w:basedOn w:val="113"/>
    <w:qFormat/>
    <w:uiPriority w:val="31"/>
    <w:rPr>
      <w:smallCaps/>
      <w:color w:val="C0504D" w:themeColor="accent2"/>
      <w:u w:val="single"/>
    </w:rPr>
  </w:style>
  <w:style w:type="character" w:customStyle="1" w:styleId="162">
    <w:name w:val="明显参考1"/>
    <w:basedOn w:val="113"/>
    <w:qFormat/>
    <w:uiPriority w:val="32"/>
    <w:rPr>
      <w:b/>
      <w:bCs/>
      <w:smallCaps/>
      <w:color w:val="C0504D" w:themeColor="accent2"/>
      <w:spacing w:val="5"/>
      <w:u w:val="single"/>
    </w:rPr>
  </w:style>
  <w:style w:type="character" w:customStyle="1" w:styleId="163">
    <w:name w:val="书籍标题1"/>
    <w:basedOn w:val="113"/>
    <w:qFormat/>
    <w:uiPriority w:val="33"/>
    <w:rPr>
      <w:b/>
      <w:bCs/>
      <w:smallCaps/>
      <w:spacing w:val="5"/>
    </w:rPr>
  </w:style>
  <w:style w:type="paragraph" w:customStyle="1" w:styleId="164">
    <w:name w:val="TOC 标题1"/>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Pages>11</Pages>
  <Words>4895</Words>
  <Characters>4967</Characters>
  <Lines>36</Lines>
  <Paragraphs>10</Paragraphs>
  <TotalTime>66</TotalTime>
  <ScaleCrop>false</ScaleCrop>
  <LinksUpToDate>false</LinksUpToDate>
  <CharactersWithSpaces>5013</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2026-11-02T18:43:00Z</dcterms:created>
  <dc:creator>python-docx</dc:creator>
  <dc:description>generated by python-docx</dc:description>
  <cp:lastModifiedBy>administrator</cp:lastModifiedBy>
  <dcterms:modified xsi:type="dcterms:W3CDTF">2026-11-05T15:18:23Z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eyJoZGlkIjoiYTI5NTM2ZGQxNDZhY2EyZDYzNWJlNTNhYjZiNDVkZjQiLCJ1c2VySWQiOiIzMzI3NTk5MDMifQ==</vt:lpwstr>
  </property>
  <property fmtid="{D5CDD505-2E9C-101B-9397-08002B2CF9AE}" pid="3" name="KSOProductBuildVer">
    <vt:lpwstr>2052-12.1.2.23578</vt:lpwstr>
  </property>
  <property fmtid="{D5CDD505-2E9C-101B-9397-08002B2CF9AE}" pid="4" name="ICV">
    <vt:lpwstr>EFBC0C93F97AD6F85F2DEC6ABDCAE9B9_43</vt:lpwstr>
  </property>
</Properties>
</file>